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BDBOSG — Buchführung, Jahresabschluss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29.12.2022 (konsolidierte Textfassung, kein amtliches Inkrafttretensdatum)</w:t>
      </w:r>
    </w:p>
    <w:p>
      <w:r>
        <w:t xml:space="preserve">(1) Die Bundesanstalt bucht nach den Regeln der kaufmännischen Buchführung.</w:t>
      </w:r>
    </w:p>
    <w:p>
      <w:r>
        <w:t xml:space="preserve">(2) Die Präsidentin oder der Präsident der Bundesanstalt stellt nach Abschluss des Geschäftsjahres einen Jahresabschluss und einen Lagebericht nach handelsrechtlichen Grundsätzen für große Kapitalgesellschaften auf und legt diese zur Abschlussprüfung vor.</w:t>
      </w:r>
    </w:p>
    <w:p>
      <w:r>
        <w:t xml:space="preserve">(3) Für Aufgaben gemäß § 2 Absatz 1 Satz 1 stellt der Verwaltungsrat den Jahresabschluss fest und entscheidet über die Entlastung der Präsidentin oder des Präsidenten nach § 109 Absatz 3 Satz 2 der Bundeshaushaltsordnung. Das Bundesministerium des Innern, für Bau und Heimat stellt für übertragene Aufgaben gemäß § 2 Absatz 2 Satz 1 und Absatz 3 Satz 1 den Jahresabschluss fest und entscheidet über die Entlastung der Präsidentin oder des Präsidenten im Einvernehmen mit dem Bundesministerium der Finanzen.</w:t>
      </w:r>
    </w:p>
    <w:p>
      <w:r>
        <w:t xml:space="preserve">(4) Näheres regelt die Satzung. § 109 Abs. 2 Satz 3 und 4 der Bundeshaushaltsordnung ist anzuwenden.</w:t>
      </w:r>
    </w:p>
    <w:p>
      <w:r>
        <w:rPr>
          <w:color w:val="555555"/>
          <w:sz w:val="17"/>
        </w:rPr>
        <w:t xml:space="preserve">Zitiervorschlag: § 11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