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BDBOS-KostV</w:t>
      </w:r>
    </w:p>
    <w:p>
      <w:r>
        <w:rPr>
          <w:color w:val="555555"/>
          <w:sz w:val="18"/>
        </w:rPr>
        <w:t xml:space="preserve">BDBOS-Kostenverordnung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Auf Grund des § 15b Absatz 2 Satz 2 des BDBOS-Gesetzes, der durch Artikel 1 Nummer 3 des Gesetzes vom 29. Juli 2009 (BGBl. I S. 2251) eingefügt worden ist, in Verbindung mit dem 2. Abschnitt des Verwaltungskostengesetzes vom 23. Juni 1970 (BGBl. I S. 821) verordnet das Bundesministerium des Innern im Einvernehmen mit dem Bundesministerium der Finanzen:</w:t>
      </w:r>
    </w:p>
    <w:p>
      <w:r>
        <w:rPr>
          <w:color w:val="555555"/>
          <w:sz w:val="17"/>
        </w:rPr>
        <w:t xml:space="preserve">Zitiervorschlag: Eingangsformel BDBOS-KostV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https://recht.nulegal.eu/gesetze/BDBOS-KostV/eingangsformel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