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BDBOS-KostV — Inkrafttreten</w:t>
      </w:r>
    </w:p>
    <w:p>
      <w:r>
        <w:rPr>
          <w:color w:val="555555"/>
          <w:sz w:val="18"/>
        </w:rPr>
        <w:t xml:space="preserve">BDBOS-Kostenverordnung</w:t>
      </w:r>
    </w:p>
    <w:p>
      <w:r>
        <w:rPr>
          <w:color w:val="555555"/>
          <w:sz w:val="18"/>
        </w:rPr>
        <w:t xml:space="preserve">Historische Fassung: Stand 10.06.2019 bis 02.10.2019. Dies ist nicht die aktuelle Fassung.</w:t>
      </w:r>
    </w:p>
    <w:p>
      <w:r>
        <w:t xml:space="preserve">(1) Diese Verordnung tritt am Tag nach der Verkündung in Kraft.</w:t>
      </w:r>
    </w:p>
    <w:p>
      <w:r>
        <w:t xml:space="preserve">(2) Für Amtshandlungen nach § 15a Absatz 1 des BDBOS-Gesetzes, die vor Inkrafttreten dieser Verordnung beantragt wurden, können Kosten nach Maßgabe dieser Verordnung erhoben werden, soweit bei den Amtshandlungen unter Hinweis auf das bevorstehende Inkrafttreten dieser Verordnung eine Kostenentscheidung ausdrücklich vorbehalten ist.</w:t>
      </w:r>
    </w:p>
    <w:p>
      <w:r>
        <w:rPr>
          <w:color w:val="555555"/>
          <w:sz w:val="17"/>
        </w:rPr>
        <w:t xml:space="preserve">Zitiervorschlag: § 2 BDBOS-KostV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