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BDBOS-KostV — Gebühren</w:t>
      </w:r>
    </w:p>
    <w:p>
      <w:r>
        <w:rPr>
          <w:color w:val="555555"/>
          <w:sz w:val="18"/>
        </w:rPr>
        <w:t xml:space="preserve">BDBOS-Kostenverordnung</w:t>
      </w:r>
    </w:p>
    <w:p>
      <w:r>
        <w:rPr>
          <w:color w:val="555555"/>
          <w:sz w:val="18"/>
        </w:rPr>
        <w:t xml:space="preserve">Historische Fassung: Stand 10.06.2019 bis 02.10.2019. Dies ist nicht die aktuelle Fassung.</w:t>
      </w:r>
    </w:p>
    <w:p>
      <w:r>
        <w:t xml:space="preserve">Die Bundesanstalt für den Digitalfunk der Behörden und Organisationen mit Sicherheitsaufgaben (BDBOS) erhebt für die in § 15a des BDBOS-Gesetzes genannten individuell zurechenbaren öffentlichen Leistungen Gebühren nach dem anliegenden Gebührenverzeichnis.</w:t>
      </w:r>
    </w:p>
    <w:p>
      <w:r>
        <w:rPr>
          <w:color w:val="555555"/>
          <w:sz w:val="17"/>
        </w:rPr>
        <w:t xml:space="preserve">Zitiervorschlag: § 1 BDBOS-KostV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https://recht.nulegal.eu/gesetze/BDBOS-KostV/1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