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BBodSchV 2023 — Zusätzliche Anforderungen an das Auf- oder Einbringen von Materialien auf oder in eine durchwurzelbare Bodenschicht</w:t>
      </w:r>
    </w:p>
    <w:p>
      <w:r>
        <w:rPr>
          <w:color w:val="555555"/>
          <w:sz w:val="18"/>
        </w:rPr>
        <w:t xml:space="preserve">Bundes-Bodenschutz- und Altlastenverordnung</w:t>
      </w:r>
    </w:p>
    <w:p>
      <w:r>
        <w:rPr>
          <w:color w:val="555555"/>
          <w:sz w:val="18"/>
        </w:rPr>
        <w:t xml:space="preserve">Stand: 01.08.2023 (konsolidierte Textfassung, kein amtliches Inkrafttretensdatum)</w:t>
      </w:r>
    </w:p>
    <w:p>
      <w:r>
        <w:t xml:space="preserve">(1) Die nach § 7 Satz 1 des Bundes-Bodenschutzgesetzes Pflichtigen dürfen für das Auf- oder Einbringen auf oder in eine durchwurzelbare Bodenschicht sowie für die Herstellung einer durchwurzelbaren Bodenschicht nur</w:t>
      </w:r>
    </w:p>
    <w:p>
      <w:pPr>
        <w:ind w:left="420"/>
      </w:pPr>
      <w:r>
        <w:t xml:space="preserve">1. Bodenmaterial und Baggergut sowie</w:t>
      </w:r>
    </w:p>
    <w:p>
      <w:pPr>
        <w:ind w:left="420"/>
      </w:pPr>
      <w:r>
        <w:t xml:space="preserve">2. Gemische von Materialien nach Nummer 1 mit solchen Abfällen, die die stofflichen Qualitätsanforderungen nach § 3 Absatz 2 Satz 1, § 3a Satz 2 und § 4 Absatz 1, Absatz 3 Satz 1 bis 3, Absatz 4, auch in Verbindung mit § 5 Absatz 1 der Bioabfallverordnung sowie nach § 8 Absatz 1, Absatz 2 Satz 1 und § 11 der Klärschlammverordnung erfüllen,</w:t>
      </w:r>
    </w:p>
    <w:p>
      <w:r>
        <w:t xml:space="preserve">verwenden. Mineralische Fremdbestandteile in Bodenmaterial und Baggergut sind zulässig, sofern sie bereits beim Anfall enthalten waren und ihr Anteil 10 Volumenprozent nicht überschreitet. Störstoffe sind nur in einem vernachlässigbaren und unvermeidbaren Anteil zulässig.</w:t>
      </w:r>
    </w:p>
    <w:p>
      <w:r>
        <w:t xml:space="preserve">(2) Eine schädliche Bodenveränderung im Sinne des § 6 Absatz 2 ist aufgrund von Schadstoffgehalten nicht zu besorgen, wenn die nach Absatz 1 zur Verwendung zulässigen Materialien die Vorsorgewerte nach Anlage 1 Tabelle 1 und 2 dieser Verordnung einhalten oder nach Anlage 1 Tabelle 3 der Ersatzbaustoffverordnung als Bodenmaterial der Klasse 0 oder Baggergut der Klasse 0 – BM-0 oder BG-0 – klassifiziert wurden und auf Grund der Herkunft und der bisherigen Nutzung keine Hinweise auf weitere Belastungen der Materialien vorliegen. Sind die Anforderungen nach Satz 1 erfüllt, bedarf das Auf- oder Einbringen keiner Erlaubnis nach § 8 Absatz 1 des Wasserhaushaltsgesetzes.</w:t>
      </w:r>
    </w:p>
    <w:p>
      <w:r>
        <w:t xml:space="preserve">(3) Bei der Herstellung einer durchwurzelbaren Bodenschicht mit landwirtschaftlicher oder gartenbaulicher Folgenutzung sollen im Hinblick auf künftige unvermeidliche Schadstoffeinträge durch Bewirtschaftungsmaßnahmen oder atmosphärische Schadstoffeinträge die Schadstoffgehalte in der entstandenen durchwurzelbaren Bodenschicht 70 Prozent der jeweiligen Vorsorgewerte nach Anlage 1 Tabelle 1 und 2 nicht überschreiten. Satz 1 gilt nicht für die Umlagerung von Bodenmaterial im Rahmen der Wiedernutzbarmachung von Tagebauen.</w:t>
      </w:r>
    </w:p>
    <w:p>
      <w:r>
        <w:t xml:space="preserve">(4) Die nach § 7 Satz 1 des Bundes-Bodenschutzgesetzes Pflichtigen haben beim Auf- oder Einbringen von nach Absatz 1 zur Verwendung zulässigen Materialien auf landwirtschaftlich einschließlich gartenbaulich genutzten Böden dafür Sorge zu tragen, dass die Ertragsfähigkeit der Böden nachhaltig gesichert oder wiederhergestellt wird.</w:t>
      </w:r>
    </w:p>
    <w:p>
      <w:r>
        <w:t xml:space="preserve">(5) Die Nährstoffzufuhr durch das Auf- oder Einbringen der Materialien ist nach Menge und Verfügbarkeit dem Pflanzenbedarf der Folgevegetation anzupassen, um insbesondere Nährstoffeinträge in Gewässer zu vermeiden. Die entsprechenden Anforderungen der DIN 18919 sind zu beachten.</w:t>
      </w:r>
    </w:p>
    <w:p>
      <w:r>
        <w:t xml:space="preserve">(6) Das Auf- oder Einbringen von Materialien auf oder in eine bestehende durchwurzelbare Bodenschicht ist nicht zulässig auf Flächen, die die in § 2 Absatz 2 Nummer 1 oder 2 des Bundes-Bodenschutzgesetzes genannten Bodenfunktionen im besonderen Maße erfüllen. Das Auf- oder Einbringungsverbot gilt auch für Böden in</w:t>
      </w:r>
    </w:p>
    <w:p>
      <w:pPr>
        <w:ind w:left="420"/>
      </w:pPr>
      <w:r>
        <w:t xml:space="preserve">1. Wäldern,</w:t>
      </w:r>
    </w:p>
    <w:p>
      <w:pPr>
        <w:ind w:left="420"/>
      </w:pPr>
      <w:r>
        <w:t xml:space="preserve">2. Wasserschutzgebieten und Heilquellenschutzgebieten der Zonen I und II,</w:t>
      </w:r>
    </w:p>
    <w:p>
      <w:pPr>
        <w:ind w:left="420"/>
      </w:pPr>
      <w:r>
        <w:t xml:space="preserve">3. Naturschutzgebieten,</w:t>
      </w:r>
    </w:p>
    <w:p>
      <w:pPr>
        <w:ind w:left="420"/>
      </w:pPr>
      <w:r>
        <w:t xml:space="preserve">4. Nationalparks,</w:t>
      </w:r>
    </w:p>
    <w:p>
      <w:pPr>
        <w:ind w:left="420"/>
      </w:pPr>
      <w:r>
        <w:t xml:space="preserve">5. nationalen Naturmonumenten,</w:t>
      </w:r>
    </w:p>
    <w:p>
      <w:pPr>
        <w:ind w:left="420"/>
      </w:pPr>
      <w:r>
        <w:t xml:space="preserve">6. Biosphärenreservaten,</w:t>
      </w:r>
    </w:p>
    <w:p>
      <w:pPr>
        <w:ind w:left="420"/>
      </w:pPr>
      <w:r>
        <w:t xml:space="preserve">7. Naturdenkmälern,</w:t>
      </w:r>
    </w:p>
    <w:p>
      <w:pPr>
        <w:ind w:left="420"/>
      </w:pPr>
      <w:r>
        <w:t xml:space="preserve">8. geschützten Landschaftsbestandteilen,</w:t>
      </w:r>
    </w:p>
    <w:p>
      <w:pPr>
        <w:ind w:left="420"/>
      </w:pPr>
      <w:r>
        <w:t xml:space="preserve">9. Natura 2000-Gebieten und</w:t>
      </w:r>
    </w:p>
    <w:p>
      <w:pPr>
        <w:ind w:left="420"/>
      </w:pPr>
      <w:r>
        <w:t xml:space="preserve">10. gesetzlich geschützten Biotopen im Sinne des § 30 des Bundesnaturschutzgesetzes sowie</w:t>
      </w:r>
    </w:p>
    <w:p>
      <w:pPr>
        <w:ind w:left="420"/>
      </w:pPr>
      <w:r>
        <w:t xml:space="preserve">11. den Kernzonen von Naturschutzgroßprojekten des Bundes von gesamtstaatlicher Bedeutung.</w:t>
      </w:r>
    </w:p>
    <w:p>
      <w:r>
        <w:t xml:space="preserve">Die für den Schutz der in den Sätzen 1 und 2 Nummer 2 bis 11 genannten Flächen zuständige Behörde und im Falle des Satzes 2 Nummer 1 die Forstbehörde kann im Benehmen mit der für den Bodenschutz zuständigen Behörde Abweichungen von den Verboten der Sätze 1 und 2 zulassen, wenn das Auf- oder Einbringen aus land- oder forstwirtschaftlichen Gründen, aus Gründen des Naturschutzes und der Landschaftspflege oder zum Schutz des Grundwassers erforderlich ist. Regelungen aufgrund der §§ 51 bis 53 des Wasserhaushaltsgesetzes bleiben unberührt.</w:t>
      </w:r>
    </w:p>
    <w:p>
      <w:r>
        <w:t xml:space="preserve">(7) Beim Auf- oder Einbringen von</w:t>
      </w:r>
    </w:p>
    <w:p>
      <w:pPr>
        <w:ind w:left="420"/>
      </w:pPr>
      <w:r>
        <w:t xml:space="preserve">1. abgetragenem Bodenmaterial nach Erosionsereignissen,</w:t>
      </w:r>
    </w:p>
    <w:p>
      <w:pPr>
        <w:ind w:left="420"/>
      </w:pPr>
      <w:r>
        <w:t xml:space="preserve">2. Bodenmaterial aus der Reinigung landwirtschaftlicher Ernteprodukte oder</w:t>
      </w:r>
    </w:p>
    <w:p>
      <w:pPr>
        <w:ind w:left="420"/>
      </w:pPr>
      <w:r>
        <w:t xml:space="preserve">3. Baggergut aus der Unterhaltung von Entwässerungsgräben</w:t>
      </w:r>
    </w:p>
    <w:p>
      <w:r>
        <w:t xml:space="preserve">im räumlichen Umfeld des Herkunftsortes unter vergleichbaren Bodenverhältnissen sowie geologischen und hydrogeologischen Bedingungen ist eine schädliche Bodenveränderung im Sinne des § 6 Absatz 2 aufgrund von Schadstoffgehalten nicht zu besorgen. Überschreiten die Materialien die Vorsorgewerte nach Anlage 1 Tabelle 1 und 2 nicht erheblich und sollen Materialien nach Satz 1 Nummer 2 nicht im räumlichen Umfeld des Herkunftsortes auf- oder eingebracht werden oder ist der Herkunftsort der Materialien nicht mehr eindeutig zuzuordnen, kann die für den Bodenschutz zuständige Behörde im Einzelfall das Auf- oder Einbringen gestatten, wenn nachgewiesen wird, dass trotz der Überschreitung eine ordnungsgemäße und schadlose Verwertung erfolgt und das Entstehen einer schädlichen Bodenveränderung nicht zu besorgen ist.</w:t>
      </w:r>
    </w:p>
    <w:p>
      <w:r>
        <w:rPr>
          <w:color w:val="555555"/>
          <w:sz w:val="17"/>
        </w:rPr>
        <w:t xml:space="preserve">Zitiervorschlag: § 7 BBodSchV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https://recht.nulegal.eu/gesetze/BBodSchV%202023/7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