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BBodSchV 2023 — Besorgnis schädlicher Bodenveränderungen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Das Entstehen schädlicher Bodenveränderungen ist in der Regel zu besorgen, wenn</w:t>
      </w:r>
    </w:p>
    <w:p>
      <w:pPr>
        <w:ind w:left="420"/>
      </w:pPr>
      <w:r>
        <w:t xml:space="preserve">1. Böden Schadstoffgehalte aufweisen, die die Vorsorgewerte nach Anlage 1 Tabelle 1 oder 2 überschreiten,</w:t>
      </w:r>
    </w:p>
    <w:p>
      <w:pPr>
        <w:ind w:left="420"/>
      </w:pPr>
      <w:r>
        <w:t xml:space="preserve">2. eine erhebliche Anreicherung von anderen Schadstoffen in Böden erfolgt, die auf Grund ihrer krebserzeugenden, erbgutverändernden, fortpflanzungsgefährdenden oder toxischen Eigenschaften in besonderem Maße geeignet sind, schädliche Bodenveränderungen herbeizuführen,</w:t>
      </w:r>
    </w:p>
    <w:p>
      <w:pPr>
        <w:ind w:left="420"/>
      </w:pPr>
      <w:r>
        <w:t xml:space="preserve">3. physikalische Einwirkungen den Boden verändern und dadurch die natürlichen Funktionen sowie die Nutzungsfunktion als Standort für die land- oder forstwirtschaftliche Nutzung erheblich beeinträchtigt werden können, oder</w:t>
      </w:r>
    </w:p>
    <w:p>
      <w:pPr>
        <w:ind w:left="420"/>
      </w:pPr>
      <w:r>
        <w:t xml:space="preserve">4. Stoffeinträge den Bodenzustand irreversibel verändern und dadurch die Bodenfunktionen erheblich beeinträchtigt werden können.</w:t>
      </w:r>
    </w:p>
    <w:p>
      <w:r>
        <w:t xml:space="preserve">(2) Bei Böden mit naturbedingt oder großflächig siedlungsbedingt erhöhten Schadstoffgehalten besteht bei Überschreiten von Vorsorgewerten nach Anlage 1 Tabelle 1 oder 2 die Besorgnis des Entstehens schädlicher Bodenveränderungen nur dann, wenn eine erhebliche Freisetzung von Schadstoffen oder zusätzliche Einträge durch die nach § 7 Satz 1 des Bundes-Bodenschutzgesetzes Pflichtigen nachteilige Auswirkungen auf die Bodenfunktionen erwarten lassen.</w:t>
      </w:r>
    </w:p>
    <w:p>
      <w:r>
        <w:rPr>
          <w:color w:val="555555"/>
          <w:sz w:val="17"/>
        </w:rPr>
        <w:t xml:space="preserve">Zitiervorschlag: § 3 BBodSchV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https://recht.nulegal.eu/gesetze/BBodSchV%202023/3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