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BBodSchV 2023 — Besondere Anforderungen an die Probennahme aus Haufwerken</w:t>
      </w:r>
    </w:p>
    <w:p>
      <w:r>
        <w:rPr>
          <w:color w:val="555555"/>
          <w:sz w:val="18"/>
        </w:rPr>
        <w:t xml:space="preserve">Bundes-Bodenschutz- und Altlastenverordnung</w:t>
      </w:r>
    </w:p>
    <w:p>
      <w:r>
        <w:rPr>
          <w:color w:val="555555"/>
          <w:sz w:val="18"/>
        </w:rPr>
        <w:t xml:space="preserve">Stand: 01.08.2023 (konsolidierte Textfassung, kein amtliches Inkrafttretensdatum)</w:t>
      </w:r>
    </w:p>
    <w:p>
      <w:r>
        <w:t xml:space="preserve">(1) Die Beprobung von Haufwerken ist gemäß der „Richtlinie für das Vorgehen bei physikalischen, chemischen und biologischen Untersuchungen im Zusammenhang mit der Verwertung/Beseitigung von Abfällen“ (LAGA PN 98) vorzunehmen.</w:t>
      </w:r>
    </w:p>
    <w:p>
      <w:r>
        <w:t xml:space="preserve">(2) Die gemäß LAGA PN 98 im Regelfall vorgesehene Anzahl von Laborproben kann für größere Chargen von Bodenmaterial, wie aufgemietete Homogenbereiche im Sinne der DIN 18300, in Abstimmung mit der zuständigen Behörde im Einzelfall verringert werden, wenn insbesondere durch eine Vorerkundung oder Vor-Ort-Analytik eine homogene Schadstoffverteilung hinreichend belegt ist.</w:t>
      </w:r>
    </w:p>
    <w:p>
      <w:r>
        <w:rPr>
          <w:color w:val="555555"/>
          <w:sz w:val="17"/>
        </w:rPr>
        <w:t xml:space="preserve">Zitiervorschlag: § 21 BBodSchV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https://recht.nulegal.eu/gesetze/BBodSchV%202023/21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