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BBodSchV 2023 — Vorerkundung</w:t>
      </w:r>
    </w:p>
    <w:p>
      <w:r>
        <w:rPr>
          <w:color w:val="555555"/>
          <w:sz w:val="18"/>
        </w:rPr>
        <w:t xml:space="preserve">Bundes-Bodenschutz- und Altlastenverordnung</w:t>
      </w:r>
    </w:p>
    <w:p>
      <w:r>
        <w:rPr>
          <w:color w:val="555555"/>
          <w:sz w:val="18"/>
        </w:rPr>
        <w:t xml:space="preserve">Stand: 01.08.2023 (konsolidierte Textfassung, kein amtliches Inkrafttretensdatum)</w:t>
      </w:r>
    </w:p>
    <w:p>
      <w:r>
        <w:t xml:space="preserve">(1) Die Vorerkundung von Böden in situ und von Materialien in Haufwerken dient</w:t>
      </w:r>
    </w:p>
    <w:p>
      <w:pPr>
        <w:ind w:left="420"/>
      </w:pPr>
      <w:r>
        <w:t xml:space="preserve">1. einer Einschätzung der Beschaffenheit der Böden und Materialien, insbesondere zur Ermittlung des erforderlichen Untersuchungsumfangs und analytischen Untersuchungsbedarfs,</w:t>
      </w:r>
    </w:p>
    <w:p>
      <w:pPr>
        <w:ind w:left="420"/>
      </w:pPr>
      <w:r>
        <w:t xml:space="preserve">2. als Grundlage einer repräsentativen Probennahme, insbesondere zur Entwicklung einer geeigneten Probennahmestrategie und</w:t>
      </w:r>
    </w:p>
    <w:p>
      <w:pPr>
        <w:ind w:left="420"/>
      </w:pPr>
      <w:r>
        <w:t xml:space="preserve">3. der Bewertung der Ergebnisse analytischer Untersuchungen, insbesondere bei deren Übertragung auf den Untersuchungsraum.</w:t>
      </w:r>
    </w:p>
    <w:p>
      <w:r>
        <w:t xml:space="preserve">(2) Im Rahmen der Vorerkundung sind vorhandene Hintergrundinformationen zu ermitteln und auszuwerten. Hierzu zählen aktuelle und historische Unterlagen, Luftbilder und Karten sowie Auskünfte und Stellungnahmen zuständiger Behörden.</w:t>
      </w:r>
    </w:p>
    <w:p>
      <w:r>
        <w:t xml:space="preserve">(3) Die gewonnenen Erkenntnisse sind durch eine Inaugenscheinnahme auf ihre Plausibilität zu überprüfen und, soweit dies für das weitere Vorgehen erforderlich ist, zu vertiefen und zu ergänzen. Im Rahmen der Inaugenscheinnahme sind insbesondere Auffälligkeiten in Hinblick auf anthropogene Veränderungen der Böden zu dokumentieren.</w:t>
      </w:r>
    </w:p>
    <w:p>
      <w:r>
        <w:t xml:space="preserve">(4) Bei der Vorerkundung sind die Anforderungen der DIN 19731 zu beachten.</w:t>
      </w:r>
    </w:p>
    <w:p>
      <w:r>
        <w:t xml:space="preserve">(5) Liegen keine geeigneten bodenbezogenen Informationen vor, soll eine bodenkundliche Kartierung oder Bodenansprache auf der Grundlage der „Arbeitshilfe für die Bodenansprache im vor- und nachsorgenden Bodenschutz – Auszug aus der Bodenkundlichen Kartieranleitung KA 5“ in dem Umfang durchgeführt werden, der für die jeweilige Fragestellung erforderlich ist.</w:t>
      </w:r>
    </w:p>
    <w:p>
      <w:r>
        <w:rPr>
          <w:color w:val="555555"/>
          <w:sz w:val="17"/>
        </w:rPr>
        <w:t xml:space="preserve">Zitiervorschlag: § 18 BBodSchV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https://recht.nulegal.eu/gesetze/BBodSchV%202023/18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