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BBodSchG — Auf- und Einbringen von Materialien auf oder in den Boden</w:t>
      </w:r>
    </w:p>
    <w:p>
      <w:r>
        <w:rPr>
          <w:color w:val="555555"/>
          <w:sz w:val="18"/>
        </w:rPr>
        <w:t xml:space="preserve">Bundes-Bodenschutzgesetz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Bundesregierung wird ermächtigt, nach Anhörung der beteiligten Kreise (§ 20) durch Rechtsverordnung mit Zustimmung des Bundesrates zur Erfüllung der sich aus diesem Gesetz ergebenden Anforderungen an das Auf- und Einbringen von Materialien hinsichtlich der Schadstoffgehalte und sonstiger Eigenschaften, insbesondere</w:t>
      </w:r>
    </w:p>
    <w:p>
      <w:pPr>
        <w:ind w:left="420"/>
      </w:pPr>
      <w:r>
        <w:t xml:space="preserve">1. Verbote oder Beschränkungen nach Maßgabe von Merkmalen wie Art und Beschaffenheit der Materialien und des Bodens, Aufbringungsort und -zeit und natürliche Standortverhältnisse sowie</w:t>
      </w:r>
    </w:p>
    <w:p>
      <w:pPr>
        <w:ind w:left="420"/>
      </w:pPr>
      <w:r>
        <w:t xml:space="preserve">2. Untersuchungen der Materialien oder des Bodens, Maßnahmen zur Vorbehandlung dieser Materialien oder geeignete andere Maßnahmen</w:t>
      </w:r>
    </w:p>
    <w:p>
      <w:r>
        <w:t xml:space="preserve">zu bestimmen.</w:t>
      </w:r>
    </w:p>
    <w:p>
      <w:r>
        <w:rPr>
          <w:color w:val="555555"/>
          <w:sz w:val="17"/>
        </w:rPr>
        <w:t xml:space="preserve">Zitiervorschlag: § 6 BBodSchG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https://recht.nulegal.eu/gesetze/BBodSchG/6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