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BBodSchG — Gute fachliche Praxis in der Landwirtschaft</w:t>
      </w:r>
    </w:p>
    <w:p>
      <w:r>
        <w:rPr>
          <w:color w:val="555555"/>
          <w:sz w:val="18"/>
        </w:rPr>
        <w:t xml:space="preserve">Bundes-Bodenschutzgesetz</w:t>
      </w:r>
    </w:p>
    <w:p>
      <w:r>
        <w:rPr>
          <w:color w:val="555555"/>
          <w:sz w:val="18"/>
        </w:rPr>
        <w:t xml:space="preserve">Stand: 10.06.2019 (konsolidierte Textfassung, kein amtliches Inkrafttretensdatum)</w:t>
      </w:r>
    </w:p>
    <w:p>
      <w:r>
        <w:t xml:space="preserve">(1) Bei der landwirtschaftlichen Bodennutzung wird die Vorsorgepflicht nach § 7 durch die gute fachliche Praxis erfüllt. Die nach Landesrecht zuständigen landwirtschaftlichen Beratungsstellen sollen bei ihrer Beratungstätigkeit die Grundsätze der guten fachlichen Praxis nach Absatz 2 vermitteln.</w:t>
      </w:r>
    </w:p>
    <w:p>
      <w:r>
        <w:t xml:space="preserve">(2) Grundsätze der guten fachlichen Praxis der landwirtschaftlichen Bodennutzung sind die nachhaltige Sicherung der Bodenfruchtbarkeit und Leistungsfähigkeit des Bodens als natürlicher Ressource. Zu den Grundsätzen der guten fachlichen Praxis gehört insbesondere, daß</w:t>
      </w:r>
    </w:p>
    <w:p>
      <w:pPr>
        <w:ind w:left="420"/>
      </w:pPr>
      <w:r>
        <w:t xml:space="preserve">1. die Bodenbearbeitung unter Berücksichtigung der Witterung grundsätzlich standortangepaßt zu erfolgen hat,</w:t>
      </w:r>
    </w:p>
    <w:p>
      <w:pPr>
        <w:ind w:left="420"/>
      </w:pPr>
      <w:r>
        <w:t xml:space="preserve">2. die Bodenstruktur erhalten oder verbessert wird,</w:t>
      </w:r>
    </w:p>
    <w:p>
      <w:pPr>
        <w:ind w:left="420"/>
      </w:pPr>
      <w:r>
        <w:t xml:space="preserve">3. Bodenverdichtungen, insbesondere durch Berücksichtigung der Bodenart, Bodenfeuchtigkeit und des von den zur landwirtschaftlichen Bodennutzung eingesetzten Geräten verursachten Bodendrucks, so weit wie möglich vermieden werden,</w:t>
      </w:r>
    </w:p>
    <w:p>
      <w:pPr>
        <w:ind w:left="420"/>
      </w:pPr>
      <w:r>
        <w:t xml:space="preserve">4. Bodenabträge durch eine standortangepaßte Nutzung, insbesondere durch Berücksichtigung der Hangneigung, der Wasser- und Windverhältnisse sowie der Bodenbedeckung, möglichst vermieden werden,</w:t>
      </w:r>
    </w:p>
    <w:p>
      <w:pPr>
        <w:ind w:left="420"/>
      </w:pPr>
      <w:r>
        <w:t xml:space="preserve">5. die naturbetonten Strukturelemente der Feldflur, insbesondere Hecken, Feldgehölze, Feldraine und Ackerterrassen, die zum Schutz des Bodens notwendig sind, erhalten werden,</w:t>
      </w:r>
    </w:p>
    <w:p>
      <w:pPr>
        <w:ind w:left="420"/>
      </w:pPr>
      <w:r>
        <w:t xml:space="preserve">6. die biologische Aktivität des Bodens durch entsprechende Fruchtfolgegestaltung erhalten oder gefördert wird und</w:t>
      </w:r>
    </w:p>
    <w:p>
      <w:pPr>
        <w:ind w:left="420"/>
      </w:pPr>
      <w:r>
        <w:t xml:space="preserve">7. der standorttypische Humusgehalt des Bodens, insbesondere durch eine ausreichende Zufuhr an organischer Substanz oder durch Reduzierung der Bearbeitungsintensität erhalten wird.</w:t>
      </w:r>
    </w:p>
    <w:p>
      <w:r>
        <w:t xml:space="preserve">(3) Die Pflichten nach § 4 werden durch die Einhaltung der in § 3 Abs. 1 genannten Vorschriften erfüllt; enthalten diese keine Anforderungen an die Gefahrenabwehr und ergeben sich solche auch nicht aus den Grundsätzen der guten fachlichen Praxis nach Absatz 2, so gelten die übrigen Bestimmungen dieses Gesetzes.</w:t>
      </w:r>
    </w:p>
    <w:p>
      <w:r>
        <w:rPr>
          <w:color w:val="555555"/>
          <w:sz w:val="17"/>
        </w:rPr>
        <w:t xml:space="preserve">Zitiervorschlag: § 17 BBodSchG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https://recht.nulegal.eu/gesetze/BBodSchG/17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