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BBodSchG — Ergänzende Anordnungen zur Altlastensanierung</w:t>
      </w:r>
    </w:p>
    <w:p>
      <w:r>
        <w:rPr>
          <w:color w:val="555555"/>
          <w:sz w:val="18"/>
        </w:rPr>
        <w:t xml:space="preserve">Bundes-Bodenschutzgesetz</w:t>
      </w:r>
    </w:p>
    <w:p>
      <w:r>
        <w:rPr>
          <w:color w:val="555555"/>
          <w:sz w:val="18"/>
        </w:rPr>
        <w:t xml:space="preserve">Stand: 10.06.2019 (konsolidierte Textfassung, kein amtliches Inkrafttretensdatum)</w:t>
      </w:r>
    </w:p>
    <w:p>
      <w:r>
        <w:t xml:space="preserve">(1) Neben den im Zweiten Teil dieses Gesetzes vorgesehenen Anordnungen kann die zuständige Behörde zur Erfüllung der Pflichten, die sich aus dem Dritten Teil dieses Gesetzes ergeben, die erforderlichen Anordnungen treffen.</w:t>
      </w:r>
    </w:p>
    <w:p>
      <w:r>
        <w:t xml:space="preserve">(2) Soweit ein für verbindlich erklärter Sanierungsplan im Sinne des § 13 Abs. 6 nicht vorliegt, schließen Anordnungen zur Durchsetzung der Pflichten nach § 4 andere die Sanierung betreffende behördliche Entscheidungen mit Ausnahme von Zulassungsentscheidungen für Vorhaben, die § 1 Absatz 1 Nummer 1 in Verbindung mit der Anlage 1 des Gesetzes über die Umweltverträglichkeitsprüfung oder kraft Landesrechts einer Umweltverträglichkeitsprüfung unterliegen, mit ein, soweit sie im Einvernehmen mit der jeweils zuständigen Behörde erlassen und in der Anordnung die miteingeschlossenen Entscheidungen aufgeführt werden.</w:t>
      </w:r>
    </w:p>
    <w:p>
      <w:r>
        <w:rPr>
          <w:color w:val="555555"/>
          <w:sz w:val="17"/>
        </w:rPr>
        <w:t xml:space="preserve">Zitiervorschlag: § 16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