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BBiZV (Brandenburg) — Entschädigung für Berufsbildungs- und Prüfungsausschüsse</w:t>
      </w:r>
    </w:p>
    <w:p>
      <w:r>
        <w:rPr>
          <w:color w:val="555555"/>
          <w:sz w:val="18"/>
        </w:rPr>
        <w:t xml:space="preserve">Berufsbildungszuständigkeitsverordnung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für den jeweiligen Berufsbildungsausschuss zuständige Stelle setzt mit Genehmigung des Ministeriums, das über sie die Aufsicht führt, die Entschädigung für Tätigkeiten im Berufsbildungsausschuss nach § 77 Absatz 3 Satz 2 des Berufsbildungsgesetzes sowie nach § 43 Absatz 3 der Handwerksordnung fest.</w:t>
      </w:r>
    </w:p>
    <w:p>
      <w:r>
        <w:t xml:space="preserve">(2) Die für den jeweiligen Prüfungsausschuss zuständige Stelle setzt mit Genehmigung des Ministeriums, das über sie die Aufsicht führt, die Entschädigung für Tätigkeiten im Prüfungsausschuss nach § 40 Absatz 4 Satz 2 des Berufsbildungsgesetzes sowie nach § 34 Absatz 7 Satz 2 der Handwerksordnung fest.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BBiZV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