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BBiZV (Brandenburg) — Abweichende Zuständigkeitsregelungen</w:t>
      </w:r>
    </w:p>
    <w:p>
      <w:r>
        <w:rPr>
          <w:color w:val="555555"/>
          <w:sz w:val="18"/>
        </w:rPr>
        <w:t xml:space="preserve">Berufsbildungszuständigkeitsverordnung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Zuständigkeiten nach dieser Verordnung gelten unbeschadet anderweitiger Regelungen über diese Zuständigkeiten.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12 BBiZV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https://recht.nulegal.eu/gesetze/BBiZV/12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BBiZV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