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BBiGHwOV (Bayern)</w:t>
      </w:r>
    </w:p>
    <w:p>
      <w:r>
        <w:rPr>
          <w:color w:val="555555"/>
          <w:sz w:val="18"/>
        </w:rPr>
        <w:t xml:space="preserve">Verordnung zur Umsetzung des Berufsbildungsgesetzes, des Berufsqualifikationsfeststellungsgesetzes und der Handwerksordnung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Es erlassen auf Grund von:</w:t>
      </w:r>
    </w:p>
    <w:p>
      <w:r>
        <w:rPr>
          <w:color w:val="555555"/>
          <w:sz w:val="17"/>
        </w:rPr>
        <w:t xml:space="preserve">Zitiervorschlag: Eingangsformel BBiGHwOV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https://recht.nulegal.eu/gesetze/BBiGHwOV/eingangsformel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