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BBiGHwOV (Bayern) — Berufsfachschulen und Ausbildungsberufe</w:t>
      </w:r>
    </w:p>
    <w:p>
      <w:r>
        <w:rPr>
          <w:color w:val="555555"/>
          <w:sz w:val="18"/>
        </w:rPr>
        <w:t xml:space="preserve">Verordnung zur Umsetzung des Berufsbildungsgesetzes, des Berufsqualifikationsfeststellungsgesetzes und der Handwerksordnung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Spalte 1 genannten öffentlichen oder staatlich genehmigten Berufsfachschulen erfüllen die Voraussetzungen des § 43 Abs. 2 Satz 1 und 2 des Berufsbildungsgesetzes (BBiG) für die in Spalte 2 genannten Berufe:</w:t>
      </w:r>
    </w:p>
    <w:p>
      <w:r>
        <w:t xml:space="preserve">Berufsfachschule</w:t>
      </w:r>
    </w:p>
    <w:p>
      <w:r>
        <w:t xml:space="preserve">Ausbildungsberuf</w:t>
      </w:r>
    </w:p>
    <w:p>
      <w:r>
        <w:t xml:space="preserve">1.</w:t>
      </w:r>
    </w:p>
    <w:p>
      <w:r>
        <w:t xml:space="preserve">Berufsfachschule für Bekleidung/für die Bekleidungsindustrie</w:t>
      </w:r>
    </w:p>
    <w:p>
      <w:r>
        <w:t xml:space="preserve">Modenäher/Modenäherin Modeschneider/Modeschneiderin</w:t>
      </w:r>
    </w:p>
    <w:p>
      <w:r>
        <w:t xml:space="preserve">2.</w:t>
      </w:r>
    </w:p>
    <w:p>
      <w:r>
        <w:t xml:space="preserve">Berufsfachschule für Büroberufe</w:t>
      </w:r>
    </w:p>
    <w:p>
      <w:r>
        <w:t xml:space="preserve">Kaufmann/Kauffrau für Bürokommunikation</w:t>
      </w:r>
    </w:p>
    <w:p>
      <w:r>
        <w:t xml:space="preserve">3.</w:t>
      </w:r>
    </w:p>
    <w:p>
      <w:r>
        <w:t xml:space="preserve">Berufsfachschule für Büroberufe für Blinde und hochgradig Sehbehinderte</w:t>
      </w:r>
    </w:p>
    <w:p>
      <w:r>
        <w:t xml:space="preserve">Bürokaufmann/Bürokauffrau Informatikkaufmann/Informatikkauffrau Kaufmann/Kauffrau für Bürokommunikation</w:t>
      </w:r>
    </w:p>
    <w:p>
      <w:r>
        <w:t xml:space="preserve">4.</w:t>
      </w:r>
    </w:p>
    <w:p>
      <w:r>
        <w:t xml:space="preserve">Berufsfachschule für Glas</w:t>
      </w:r>
    </w:p>
    <w:p>
      <w:r>
        <w:t xml:space="preserve">Glas- und Porzellanmaler/Glas- und Porzellanmalerin</w:t>
      </w:r>
    </w:p>
    <w:p>
      <w:r>
        <w:t xml:space="preserve">5.</w:t>
      </w:r>
    </w:p>
    <w:p>
      <w:r>
        <w:t xml:space="preserve">Berufsfachschule für Ernährung und Versorgung</w:t>
      </w:r>
    </w:p>
    <w:p>
      <w:r>
        <w:t xml:space="preserve">Hauswirtschafter/Hauswirtschafterin</w:t>
      </w:r>
    </w:p>
    <w:p>
      <w:r>
        <w:t xml:space="preserve">6.</w:t>
      </w:r>
    </w:p>
    <w:p>
      <w:r>
        <w:t xml:space="preserve">Berufsfachschule für informations- und telekommunikationstechnische Berufe</w:t>
      </w:r>
    </w:p>
    <w:p>
      <w:r>
        <w:t xml:space="preserve">Fachinformatiker/Fachinformatikerin Informatikkaufmann/Informatikkauffrau</w:t>
      </w:r>
    </w:p>
    <w:p>
      <w:r>
        <w:t xml:space="preserve">7.</w:t>
      </w:r>
    </w:p>
    <w:p>
      <w:r>
        <w:t xml:space="preserve">Berufsfachschule für Zupfinstrumentenmacher</w:t>
      </w:r>
    </w:p>
    <w:p>
      <w:r>
        <w:t xml:space="preserve">Zupfinstrumentenmacher/Zupfinstrumentenmacherin.</w:t>
      </w:r>
    </w:p>
    <w:p>
      <w:r>
        <w:t xml:space="preserve">(2) Die Berufsabschlussprüfung als Modenäher/Modenäherin und als Hauswirtschafter/Hauswirtschafterin bei Schülerinnen und Schülern, die eine zweijährige Ausbildung an der Berufsfachschule für Ernährung und Versorgung absolvieren, erfolgt gegen Ende des zweiten Schuljahres, im Übrigen erfolgt die Abschlussprüfung gegen Ende des dritten Schuljahres. Die Zulassung setzt voraus, dass der Schüler oder die Schülerin im Zwischenzeugnis der betreffenden Jahrgangsstufe Noten erzielt hat, mit denen er oder sie vorrücken dürfte.</w:t>
      </w:r>
    </w:p>
    <w:p>
      <w:r>
        <w:rPr>
          <w:color w:val="555555"/>
          <w:sz w:val="17"/>
        </w:rPr>
        <w:t xml:space="preserve">Zitiervorschlag: § 3 BBiGHwOV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https://recht.nulegal.eu/gesetze/BBiGHwOV/3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BBiGHwOV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