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BBiG 2005 — Zweck und Durchführung der Berufsbildungsstatistik</w:t>
      </w:r>
    </w:p>
    <w:p>
      <w:r>
        <w:rPr>
          <w:color w:val="555555"/>
          <w:sz w:val="18"/>
        </w:rPr>
        <w:t xml:space="preserve">Berufsbildungsgesetz</w:t>
      </w:r>
    </w:p>
    <w:p>
      <w:r>
        <w:rPr>
          <w:color w:val="555555"/>
          <w:sz w:val="18"/>
        </w:rPr>
        <w:t xml:space="preserve">Stand: 30.04.2025 (konsolidierte Textfassung, kein amtliches Inkrafttretensdatum)</w:t>
      </w:r>
    </w:p>
    <w:p>
      <w:r>
        <w:t xml:space="preserve">(1) Für Zwecke der Planung und Ordnung der Berufsbildung wird eine Bundesstatistik durchgeführt.</w:t>
      </w:r>
    </w:p>
    <w:p>
      <w:r>
        <w:t xml:space="preserve">(2) Das Bundesinstitut für Berufsbildung und die Bundesagentur für Arbeit unterstützen das Statistische Bundesamt bei der technischen und methodischen Vorbereitung der Statistik.</w:t>
      </w:r>
    </w:p>
    <w:p>
      <w:r>
        <w:t xml:space="preserve">(3) Das Erhebungs- und Aufbereitungsprogramm ist im Benehmen mit dem Bundesinstitut für Berufsbildung so zu gestalten, dass die erhobenen Daten für Zwecke der Planung und Ordnung der Berufsbildung im Rahmen der jeweiligen Zuständigkeiten Verwendung finden können.</w:t>
      </w:r>
    </w:p>
    <w:p>
      <w:r>
        <w:rPr>
          <w:color w:val="555555"/>
          <w:sz w:val="17"/>
        </w:rPr>
        <w:t xml:space="preserve">Zitiervorschlag: § 87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