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BBiG 2005 — Qualifizierungsbausteine, Bescheinigung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Die Vermittlung von Grundlagen für den Erwerb beruflicher Handlungsfähigkeit (§ 1 Absatz 2) kann insbesondere durch inhaltlich und zeitlich abgegrenzte Lerneinheiten erfolgen, die aus den Inhalten anerkannter Ausbildungsberufe entwickelt werden (Qualifizierungsbausteine).</w:t>
      </w:r>
    </w:p>
    <w:p>
      <w:r>
        <w:t xml:space="preserve">(2) Über vermittelte Grundlagen für den Erwerb beruflicher Handlungsfähigkeit stellt der Anbieter der Berufsausbildungsvorbereitung eine Bescheinigung aus. Das Nähere regelt das Bundesministerium für Bildung und Forschung im Einvernehmen mit den für den Erlass von Ausbildungsordnungen zuständigen Fachministerien nach Anhörung des Hauptausschusses des Bundesinstituts für Berufsbildung durch Rechtsverordnung, die nicht der Zustimmung des Bundesrates bedarf.</w:t>
      </w:r>
    </w:p>
    <w:p>
      <w:r>
        <w:rPr>
          <w:color w:val="555555"/>
          <w:sz w:val="17"/>
        </w:rPr>
        <w:t xml:space="preserve">Zitiervorschlag: § 69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BBiG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