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67 BBiG 2005 — Berufliche Fortbildung, berufliche Umschulung</w:t>
      </w:r>
    </w:p>
    <w:p>
      <w:r>
        <w:rPr>
          <w:color w:val="555555"/>
          <w:sz w:val="18"/>
        </w:rPr>
        <w:t xml:space="preserve">Berufsbildungsgesetz</w:t>
      </w:r>
    </w:p>
    <w:p>
      <w:r>
        <w:rPr>
          <w:color w:val="555555"/>
          <w:sz w:val="18"/>
        </w:rPr>
        <w:t xml:space="preserve">Stand: 30.04.2025 (konsolidierte Textfassung, kein amtliches Inkrafttretensdatum)</w:t>
      </w:r>
    </w:p>
    <w:p>
      <w:r>
        <w:t xml:space="preserve">Für die berufliche Fortbildung und die berufliche Umschulung behinderter Menschen gelten die §§ 64 bis 66 entsprechend, soweit es Art und Schwere der Behinderung erfordern.</w:t>
      </w:r>
    </w:p>
    <w:p>
      <w:r>
        <w:rPr>
          <w:color w:val="555555"/>
          <w:sz w:val="17"/>
        </w:rPr>
        <w:t xml:space="preserve">Zitiervorschlag: § 67 BBiG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https://recht.nulegal.eu/gesetze/BBiG%202005/67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