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BBiG 2005 — Anwendungsbereich</w:t>
      </w:r>
    </w:p>
    <w:p>
      <w:r>
        <w:rPr>
          <w:color w:val="555555"/>
          <w:sz w:val="18"/>
        </w:rPr>
        <w:t xml:space="preserve">Berufsbildungsgesetz</w:t>
      </w:r>
    </w:p>
    <w:p>
      <w:r>
        <w:rPr>
          <w:color w:val="555555"/>
          <w:sz w:val="18"/>
        </w:rPr>
        <w:t xml:space="preserve">Stand: 30.04.2025 (konsolidierte Textfassung, kein amtliches Inkrafttretensdatum)</w:t>
      </w:r>
    </w:p>
    <w:p>
      <w:r>
        <w:t xml:space="preserve">(1) Dieses Gesetz gilt für die Berufsbildung, soweit sie nicht in berufsbildenden Schulen durchgeführt wird, die den Schulgesetzen der Länder unterstehen.</w:t>
      </w:r>
    </w:p>
    <w:p>
      <w:r>
        <w:t xml:space="preserve">(2) Dieses Gesetz gilt nicht für</w:t>
      </w:r>
    </w:p>
    <w:p>
      <w:pPr>
        <w:ind w:left="420"/>
      </w:pPr>
      <w:r>
        <w:t xml:space="preserve">1. die Berufsbildung, die in berufsqualifizierenden oder vergleichbaren Studiengängen an Hochschulen auf der Grundlage des Hochschulrahmengesetzes und der Hochschulgesetze der Länder durchgeführt wird,</w:t>
      </w:r>
    </w:p>
    <w:p>
      <w:pPr>
        <w:ind w:left="420"/>
      </w:pPr>
      <w:r>
        <w:t xml:space="preserve">2. die Berufsbildung in einem öffentlich-rechtlichen Dienstverhältnis,</w:t>
      </w:r>
    </w:p>
    <w:p>
      <w:pPr>
        <w:ind w:left="420"/>
      </w:pPr>
      <w:r>
        <w:t xml:space="preserve">3. die Berufsbildung auf Kauffahrteischiffen, die nach dem Flaggenrechtsgesetz die Bundesflagge führen, soweit es sich nicht um Schiffe der kleinen Hochseefischerei oder der Küstenfischerei handelt.</w:t>
      </w:r>
    </w:p>
    <w:p>
      <w:r>
        <w:t xml:space="preserve">(3) Für die Berufsbildung in Berufen der Handwerksordnung und die Feststellung nach § 1 Absatz 6 am Maßstab eines anerkannten Ausbildungsberufs nach der Handwerksordnung gelten § 4 Absatz 1 und 3 bis 6, § 5 Absatz 1 und 2, die §§ 6 bis 9, 27 bis 49, 50b bis 50e, 53 Absatz 1 bis 3, die §§ 53a bis 53e Absatz 1 bis 3, die §§ 54 bis 58 Satz 1, die §§ 59 bis 70, 76 bis 80 sowie 101 Absatz 1 Nummer 7 bis 11 nicht; insoweit gilt die Handwerksordnung.</w:t>
      </w:r>
    </w:p>
    <w:p>
      <w:r>
        <w:rPr>
          <w:color w:val="555555"/>
          <w:sz w:val="17"/>
        </w:rPr>
        <w:t xml:space="preserve">Zitiervorschlag: § 3 BBiG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https://recht.nulegal.eu/gesetze/BBiG%202005/3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