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BBiG 2005 — Lernorte der Berufsbildung</w:t>
      </w:r>
    </w:p>
    <w:p>
      <w:r>
        <w:rPr>
          <w:color w:val="555555"/>
          <w:sz w:val="18"/>
        </w:rPr>
        <w:t xml:space="preserve">Berufsbildungsgesetz</w:t>
      </w:r>
    </w:p>
    <w:p>
      <w:r>
        <w:rPr>
          <w:color w:val="555555"/>
          <w:sz w:val="18"/>
        </w:rPr>
        <w:t xml:space="preserve">Stand: 30.04.2025 (konsolidierte Textfassung, kein amtliches Inkrafttretensdatum)</w:t>
      </w:r>
    </w:p>
    <w:p>
      <w:r>
        <w:t xml:space="preserve">(1) Berufsbildung wird durchgeführt</w:t>
      </w:r>
    </w:p>
    <w:p>
      <w:pPr>
        <w:ind w:left="420"/>
      </w:pPr>
      <w:r>
        <w:t xml:space="preserve">1. in Betrieben der Wirtschaft, in vergleichbaren Einrichtungen außerhalb der Wirtschaft, insbesondere des öffentlichen Dienstes, der Angehörigen freier Berufe und in Haushalten (betriebliche Berufsbildung),</w:t>
      </w:r>
    </w:p>
    <w:p>
      <w:pPr>
        <w:ind w:left="420"/>
      </w:pPr>
      <w:r>
        <w:t xml:space="preserve">2. in berufsbildenden Schulen (schulische Berufsbildung) und</w:t>
      </w:r>
    </w:p>
    <w:p>
      <w:pPr>
        <w:ind w:left="420"/>
      </w:pPr>
      <w:r>
        <w:t xml:space="preserve">3. in sonstigen Berufsbildungseinrichtungen außerhalb der schulischen und betrieblichen Berufsbildung (außerbetriebliche Berufsbildung).</w:t>
      </w:r>
    </w:p>
    <w:p>
      <w:r>
        <w:t xml:space="preserve">(2) Die Lernorte nach Absatz 1 wirken bei der Durchführung der Berufsbildung zusammen (Lernortkooperation).</w:t>
      </w:r>
    </w:p>
    <w:p>
      <w:r>
        <w:t xml:space="preserve">(3) Teile der Berufsausbildung können im Ausland durchgeführt werden, wenn dies dem Ausbildungsziel dient. Ihre Gesamtdauer soll ein Viertel der in der Ausbildungsordnung festgelegten Ausbildungsdauer nicht überschreiten.</w:t>
      </w:r>
    </w:p>
    <w:p>
      <w:r>
        <w:rPr>
          <w:color w:val="555555"/>
          <w:sz w:val="17"/>
        </w:rPr>
        <w:t xml:space="preserve">Zitiervorschlag: § 2 BBiG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https://recht.nulegal.eu/gesetze/BBiG%202005/2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