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BBiG 2005 — Bemessung und Fälligkeit der Vergütung</w:t>
      </w:r>
    </w:p>
    <w:p>
      <w:r>
        <w:rPr>
          <w:color w:val="555555"/>
          <w:sz w:val="18"/>
        </w:rPr>
        <w:t xml:space="preserve">Berufsbildungsgesetz</w:t>
      </w:r>
    </w:p>
    <w:p>
      <w:r>
        <w:rPr>
          <w:color w:val="555555"/>
          <w:sz w:val="18"/>
        </w:rPr>
        <w:t xml:space="preserve">Stand: 30.04.2025 (konsolidierte Textfassung, kein amtliches Inkrafttretensdatum)</w:t>
      </w:r>
    </w:p>
    <w:p>
      <w:r>
        <w:t xml:space="preserve">(1) Die Vergütung bemisst sich nach Monaten. Bei Berechnung der Vergütung für einzelne Tage wird der Monat zu 30 Tagen gerechnet.</w:t>
      </w:r>
    </w:p>
    <w:p>
      <w:r>
        <w:t xml:space="preserve">(2) Ausbildende haben die Vergütung für den laufenden Kalendermonat spätestens am letzten Arbeitstag des Monats zu zahlen.</w:t>
      </w:r>
    </w:p>
    <w:p>
      <w:r>
        <w:t xml:space="preserve">(3) Gilt für Ausbildende nicht nach § 3 Absatz 1 des Tarifvertragsgesetzes eine tarifvertragliche Vergütungsregelung, sind sie verpflichtet, den bei ihnen beschäftigten Auszubildenden spätestens zu dem in Absatz 2 genannten Zeitpunkt eine Vergütung mindestens in der bei Beginn der Berufsausbildung geltenden Höhe der Mindestvergütung nach § 17 Absatz 2 Satz 1 zu zahlen. Satz 1 findet bei einer Teilzeitberufsausbildung mit der Maßgabe Anwendung, dass die Vergütungshöhe unter Berücksichtigung des § 17 Absatz 5 Satz 3 mindestens dem prozentualen Anteil an der Arbeitszeit entsprechen muss.</w:t>
      </w:r>
    </w:p>
    <w:p>
      <w:r>
        <w:rPr>
          <w:color w:val="555555"/>
          <w:sz w:val="17"/>
        </w:rPr>
        <w:t xml:space="preserve">Zitiervorschlag: § 18 BBiG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https://recht.nulegal.eu/gesetze/BBiG%202005/18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