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104 BBiG 2005 — Übertragung von Zuständigkeiten</w:t>
      </w:r>
    </w:p>
    <w:p>
      <w:r>
        <w:rPr>
          <w:color w:val="555555"/>
          <w:sz w:val="18"/>
        </w:rPr>
        <w:t xml:space="preserve">Berufsbildungsgesetz</w:t>
      </w:r>
    </w:p>
    <w:p>
      <w:r>
        <w:rPr>
          <w:color w:val="555555"/>
          <w:sz w:val="18"/>
        </w:rPr>
        <w:t xml:space="preserve">Stand: 30.04.2025 (konsolidierte Textfassung, kein amtliches Inkrafttretensdatum)</w:t>
      </w:r>
    </w:p>
    <w:p>
      <w:r>
        <w:t xml:space="preserve">Die Landesregierungen werden ermächtigt, durch Rechtsverordnung die nach diesem Gesetz den nach Landesrecht zuständigen Behörden übertragenen Zuständigkeiten nach den §§ 27, 30, 32, 33 und 70 auf zuständige Stellen zu übertragen.</w:t>
      </w:r>
    </w:p>
    <w:p>
      <w:r>
        <w:rPr>
          <w:color w:val="555555"/>
          <w:sz w:val="17"/>
        </w:rPr>
        <w:t xml:space="preserve">Zitiervorschlag: § 104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https://recht.nulegal.eu/gesetze/BBiG%202005/104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104 BBiG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