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BBhV — Antragsfrist</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Beihilfe wird nur gewährt, wenn sie innerhalb von drei Jahren nach Rechnungsdatum beantragt wird. Für den Beginn der Frist ist bei Pflegeleistungen nach § 38a Absatz 3 der letzte Tag des Monats maßgebend, in dem die Pflege erbracht wurde. Hat ein Sozialhilfeträger oder im Bereich der Pflege der Träger der Sozialen Entschädigung oder der Soldatenentschädigung vorgeleistet, so beginnt die Frist mit dem Ersten des Monats, der auf den Monat folgt, in dem der Sozialhilfeträger oder der Träger der Sozialen Entschädigung oder der Soldatenentschädigung die Aufwendungen bezahlt hat. Die Frist beginnt in Fällen des § 45a Absatz 2 Satz 2 und 3 mit Ablauf des Jahres, in dem die Transplantation oder gegebenenfalls der Versuch einer Transplantation erfolgte.</w:t>
      </w:r>
    </w:p>
    <w:p>
      <w:r>
        <w:t xml:space="preserve">(2) Die Frist ist auch gewahrt, wenn der Antrag von beihilfeberechtigten Personen nach § 3 innerhalb der Frist nach Absatz 1 bei der zuständigen Beschäftigungsstelle im Ausland eingereicht wird.</w:t>
      </w:r>
    </w:p>
    <w:p>
      <w:r>
        <w:rPr>
          <w:color w:val="555555"/>
          <w:sz w:val="17"/>
        </w:rPr>
        <w:t xml:space="preserve">Zitiervorschlag: § 54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