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BBhV — Zuordnung von Aufwendungen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Beihilfefähige Aufwendungen werden zugeordnet:</w:t>
      </w:r>
    </w:p>
    <w:p>
      <w:pPr>
        <w:ind w:left="420"/>
      </w:pPr>
      <w:r>
        <w:t xml:space="preserve">1. für eine Familien- und Haushaltshilfe der außerhäuslich untergebrachten Person,</w:t>
      </w:r>
    </w:p>
    <w:p>
      <w:pPr>
        <w:ind w:left="420"/>
      </w:pPr>
      <w:r>
        <w:t xml:space="preserve">2. für eine Begleitperson der oder dem Begleiteten,</w:t>
      </w:r>
    </w:p>
    <w:p>
      <w:pPr>
        <w:ind w:left="420"/>
      </w:pPr>
      <w:r>
        <w:t xml:space="preserve">3. für eine familienorientierte Rehabilitationsmaßnahme dem erkrankten Kind und</w:t>
      </w:r>
    </w:p>
    <w:p>
      <w:pPr>
        <w:ind w:left="420"/>
      </w:pPr>
      <w:r>
        <w:t xml:space="preserve">4. in Geburtsfällen einschließlich der Aufwendungen des Krankenhauses für das gesunde Neugeborene der Mutter.</w:t>
      </w:r>
    </w:p>
    <w:p>
      <w:r>
        <w:rPr>
          <w:color w:val="555555"/>
          <w:sz w:val="17"/>
        </w:rPr>
        <w:t xml:space="preserve">Zitiervorschlag: § 52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