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BBhV — Belastungsgrenzen</w:t>
      </w:r>
    </w:p>
    <w:p>
      <w:r>
        <w:rPr>
          <w:color w:val="555555"/>
          <w:sz w:val="18"/>
        </w:rPr>
        <w:t xml:space="preserve">Bundesbeihilfeverordnung</w:t>
      </w:r>
    </w:p>
    <w:p>
      <w:r>
        <w:rPr>
          <w:color w:val="555555"/>
          <w:sz w:val="18"/>
        </w:rPr>
        <w:t xml:space="preserve">Stand: 01.01.2026 (konsolidierte Textfassung, kein amtliches Inkrafttretensdatum)</w:t>
      </w:r>
    </w:p>
    <w:p>
      <w:r>
        <w:t xml:space="preserve">(1) Auf Antrag sind nach Überschreiten der Belastungsgrenze nach Satz 5</w:t>
      </w:r>
    </w:p>
    <w:p>
      <w:pPr>
        <w:ind w:left="420"/>
      </w:pPr>
      <w:r>
        <w:t xml:space="preserve">1. Eigenbehalte nach § 49 von den beihilfefähigen Aufwendungen für ein Kalenderjahr nicht abzuziehen,</w:t>
      </w:r>
    </w:p>
    <w:p>
      <w:pPr>
        <w:ind w:left="420"/>
      </w:pPr>
      <w:r>
        <w:t xml:space="preserve">2. Aufwendungen für ärztlich oder zahnärztlich verordnete nicht verschreibungspflichtige Arzneimittel nach § 22 Absatz 2 Nummer 3, die nicht den Ausnahmeregelungen unterliegen, in voller Höhe als beihilfefähig anzuerkennen, wenn die Aufwendungen pro verordnetem Arzneimittel über folgenden Beträgen liegen:</w:t>
      </w:r>
    </w:p>
    <w:p>
      <w:r>
        <w:rPr>
          <w:rFonts w:ascii="Courier New" w:hAnsi="Courier New"/>
          <w:sz w:val="17"/>
        </w:rPr>
        <w:t xml:space="preserve">für beihilfeberechtigtePersonen der Besoldungs-gruppen A 2 bis A 8 undAnwärterinnen und An-wärter sowie berücksichti-gungsfähige Personen    8 Euro,</w:t>
      </w:r>
    </w:p>
    <w:p>
      <w:r>
        <w:rPr>
          <w:rFonts w:ascii="Courier New" w:hAnsi="Courier New"/>
          <w:sz w:val="17"/>
        </w:rPr>
        <w:t xml:space="preserve">für beihilfeberechtigte Personen derBesoldungsgruppen A 9 bis A 12sowie berücksichtigungsfähige Personen    12 Euro,</w:t>
      </w:r>
    </w:p>
    <w:p>
      <w:r>
        <w:rPr>
          <w:rFonts w:ascii="Courier New" w:hAnsi="Courier New"/>
          <w:sz w:val="17"/>
        </w:rPr>
        <w:t xml:space="preserve">für beihilfeberechtigte Personen höhererBesoldungsgruppen sowieberücksichtigungsfähige Personen    16 Euro.</w:t>
      </w:r>
    </w:p>
    <w:p>
      <w:pPr>
        <w:ind w:left="420"/>
      </w:pPr>
      <w:r>
        <w:t xml:space="preserve">c) Ein Antrag muss spätestens bis zum Ablauf des Jahres gestellt werden, das auf das Jahr folgt, in dem die Eigenbehalte nach § 49 einbehalten worden sind. Dabei sind sowohl die Beträge nach § 49 Absatz 1 bis 3 als auch die Aufwendungen für Arzneimittel nach Satz 1 Nummer 2 zum entsprechenden Bemessungssatz zu berücksichtigen. Die beihilfeberechtigte Person hat das Einkommen nach § 39 Absatz 3 nachzuweisen und auf Verlangen der Festsetzungsstelle die anrechenbaren Eigenbehalte sowie die Aufwendungen für nicht verschreibungspflichtige Arzneimittel zu belegen. Die Belastungsgrenze beträgt für beihilfeberechtigte Personen und berücksichtigungsfähige Personen zusammen 2 Prozent der jährlichen Einnahmen nach § 39 Absatz 3 Satz 2 sowie für chronisch Kranke nach der Chroniker-Richtlinie des Gemeinsamen Bundesausschusses in der Fassung vom 22. Januar 2004 (BAnz. S. 1343), die zuletzt durch Beschluss vom 15. Februar 2018 (BAnz. AT 05.03.2018 B4) geändert worden ist, 1 Prozent der jährlichen Einnahmen nach § 39 Absatz 3 Satz 2.</w:t>
      </w:r>
    </w:p>
    <w:p>
      <w:r>
        <w:t xml:space="preserve">(2) Maßgeblich ist das Datum des Entstehens der Aufwendungen. Die Einnahmen der Ehegattin, des Ehegatten, der Lebenspartnerin oder des Lebenspartners werden nicht berücksichtigt, wenn sie oder er Mitglied der gesetzlichen Krankenversicherung oder selbst beihilfeberechtigt ist. Die Einnahmen vermindern sich bei verheirateten oder in einer Lebenspartnerschaft lebenden beihilfeberechtigten Personen um 15 Prozent und für jedes Kind nach § 4 Absatz 2 um den Betrag, der sich aus § 32 Absatz 6 Satz 1 bis 3 des Einkommensteuergesetzes ergibt. Maßgebend für die Feststellung der Belastungsgrenze sind jeweils die jährlichen Einnahmen des vorangegangenen Kalenderjahres.</w:t>
      </w:r>
    </w:p>
    <w:p>
      <w:r>
        <w:t xml:space="preserve">(3) Werden die Kosten der Unterbringung in einem Heim oder einer ähnlichen Einrichtung von einem Träger der Sozialhilfe, der Sozialen Entschädigung oder der Soldatenentschädigung getragen, ist für die Berechnung der Belastungsgrenze derjenige Regelsatz anzuwenden, der nach Maßgabe des Regelbedarfs-Ermittlungsgesetzes vom 9. Dezember 2020 (BGBl. I S. 2855), das durch Artikel 12 Absatz 13 des Gesetzes vom 16. Dezember 2022 (BGBl. I S. 2328) geändert worden ist, in der jeweils geltenden Fassung zu ermitteln ist.</w:t>
      </w:r>
    </w:p>
    <w:p>
      <w:r>
        <w:rPr>
          <w:color w:val="555555"/>
          <w:sz w:val="17"/>
        </w:rPr>
        <w:t xml:space="preserve">Zitiervorschlag: § 50 BBhV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https://recht.nulegal.eu/gesetze/BBhV/50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