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BBhV — Organspende und andere Spenden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Beihilfefähig sind Aufwendungen bei postmortalen Organspenden für die Vermittlung, Entnahme, Versorgung, Organisation der Bereitstellung und für den Transport des Organs zur Transplantation, sofern es sich bei den Organempfängerinnen oder Organempfängern um beihilfeberechtigte oder berücksichtigungsfähige Personen handelt. Die Höhe der Aufwendungen nach Satz 1 richtet sich nach den Entgelten, die die Vertragsparteien nach § 11 Absatz 2 des Transplantationsgesetzes vereinbart haben. Das Bundesministerium des Innern gibt die beihilfefähigen Pauschalen für Aufwendungen im Zusammenhang mit Organtransplantationen durch Rundschreiben bekannt.</w:t>
      </w:r>
    </w:p>
    <w:p>
      <w:r>
        <w:t xml:space="preserve">(2) Aufwendungen für eine Spenderin oder einen Spender von Organen, Geweben, Blutstammzellen oder anderen Blutbestandteilen sind entsprechend Kapitel 2 und § 7 Absatz 1 des Bundesreisekostengesetzes beihilfefähig, wenn die Empfängerin oder der Empfänger der Spende eine beihilfeberechtigte oder berücksichtigungsfähige Person ist. Der Spenderin oder dem Spender wird auf Antrag auch der nachgewiesene transplantationsbedingte Ausfall von Arbeitseinkünften anteilig in Höhe des Bemessungssatzes der Empfängerin oder des Empfängers ausgeglichen. Dem Arbeitgeber der Spenderin oder des Spenders wird auf Antrag das fortgezahlte Entgelt anteilig in Höhe des Bemessungssatzes der Empfängerin oder des Empfängers erstattet. Den Spenderinnen und Spendern gleichgestellt sind Personen, die als Spenderin oder Spender vorgesehen waren, aber nicht in Betracht kommen.</w:t>
      </w:r>
    </w:p>
    <w:p>
      <w:r>
        <w:t xml:space="preserve">(3) Aufwendungen für die Registrierung beihilfeberechtigter und berücksichtigungsfähiger Personen für die Suche nach einer nicht verwandten Blutstammzellspenderin oder einem nicht verwandten Blutstammzellspender im Zentralen Knochenmarkspender-Register sind beihilfefähig.</w:t>
      </w:r>
    </w:p>
    <w:p>
      <w:r>
        <w:rPr>
          <w:color w:val="555555"/>
          <w:sz w:val="17"/>
        </w:rPr>
        <w:t xml:space="preserve">Zitiervorschlag: § 45a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