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BBhV — Erste Hilfe, Entseuchung, Kommunikationshilfe</w:t>
      </w:r>
    </w:p>
    <w:p>
      <w:r>
        <w:rPr>
          <w:color w:val="555555"/>
          <w:sz w:val="18"/>
        </w:rPr>
        <w:t xml:space="preserve">Bundesbeihilfeverordnung</w:t>
      </w:r>
    </w:p>
    <w:p>
      <w:r>
        <w:rPr>
          <w:color w:val="555555"/>
          <w:sz w:val="18"/>
        </w:rPr>
        <w:t xml:space="preserve">Stand: 10.06.2019 (konsolidierte Textfassung, kein amtliches Inkrafttretensdatum)</w:t>
      </w:r>
    </w:p>
    <w:p>
      <w:r>
        <w:t xml:space="preserve">(1) Beihilfefähig sind die Aufwendungen für Erste Hilfe und für eine behördlich angeordnete Entseuchung sowie für die dabei verbrauchten Stoffe.</w:t>
      </w:r>
    </w:p>
    <w:p>
      <w:r>
        <w:t xml:space="preserve">(2) Aufwendungen für Kommunikationshilfen für gehörlose, hochgradig schwerhörige oder ertaubte beihilfeberechtigte oder berücksichtigungsfähige Personen sind bei medizinisch notwendiger ambulanter oder stationärer Untersuchung und Behandlung, bei Verabreichung von Heilmitteln, bei Versorgung mit Hilfsmitteln, Zahnersatzversorgung oder Pflegeleistungen beihilfefähig, wenn</w:t>
      </w:r>
    </w:p>
    <w:p>
      <w:pPr>
        <w:ind w:left="420"/>
      </w:pPr>
      <w:r>
        <w:t xml:space="preserve">1. in Verwaltungsverfahren das Recht auf Verwendung einer Kommunikationshilfe nach § 9 des Behindertengleichstellungsgesetzes bestünde und</w:t>
      </w:r>
    </w:p>
    <w:p>
      <w:pPr>
        <w:ind w:left="420"/>
      </w:pPr>
      <w:r>
        <w:t xml:space="preserve">2. im Einzelfall der Informationsfluss zwischen Leistungserbringerin oder Leistungserbringer und den beihilfeberechtigten oder berücksichtigungsfähigen Personen nur so gewährleistet werden kann.</w:t>
      </w:r>
    </w:p>
    <w:p>
      <w:r>
        <w:rPr>
          <w:color w:val="555555"/>
          <w:sz w:val="17"/>
        </w:rPr>
        <w:t xml:space="preserve">Zitiervorschlag: § 45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