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BBhV — Überführungskosten</w:t>
      </w:r>
    </w:p>
    <w:p>
      <w:r>
        <w:rPr>
          <w:color w:val="555555"/>
          <w:sz w:val="18"/>
        </w:rPr>
        <w:t xml:space="preserve">Bundesbeihilfeverordnung</w:t>
      </w:r>
    </w:p>
    <w:p>
      <w:r>
        <w:rPr>
          <w:color w:val="555555"/>
          <w:sz w:val="18"/>
        </w:rPr>
        <w:t xml:space="preserve">Stand: 10.06.2019 (konsolidierte Textfassung, kein amtliches Inkrafttretensdatum)</w:t>
      </w:r>
    </w:p>
    <w:p>
      <w:r>
        <w:t xml:space="preserve">(1) Ist eine beihilfeberechtigte Person während einer Dienstreise, Abordnung, Zuweisung oder vor einem dienstlich bedingten Umzug außerhalb des Ortes ihrer Hauptwohnung nach § 22 Absatz 1 des Bundesmeldegesetzes verstorben, so sind die Kosten der Überführung beihilfefähig.</w:t>
      </w:r>
    </w:p>
    <w:p>
      <w:r>
        <w:t xml:space="preserve">(2) Für Personen, die nach § 3 beihilfeberechtigt oder bei einer nach § 3 beihilfeberechtigten Person berücksichtigungsfähig sind, sind die Kosten der Überführung in das Inland bis zum Beisetzungsort beihilfefähig. Liegt der Beisetzungsort nicht im Inland, so sind Aufwendungen bis zur Höhe der Überführungskosten, die für eine Überführung in das Inland entstanden wären, beihilfefähig.</w:t>
      </w:r>
    </w:p>
    <w:p>
      <w:r>
        <w:rPr>
          <w:color w:val="555555"/>
          <w:sz w:val="17"/>
        </w:rPr>
        <w:t xml:space="preserve">Zitiervorschlag: § 44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