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BBhV — Schwangerschaft und Geburt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Bei einer Schwangerschaft und in Geburtsfällen sind neben den Leistungen nach Kapitel 2 beihilfefähig Aufwendungen für</w:t>
      </w:r>
    </w:p>
    <w:p>
      <w:pPr>
        <w:ind w:left="420"/>
      </w:pPr>
      <w:r>
        <w:t xml:space="preserve">1. ärztliche Betreuung während der Schwangerschaft und nach der Entbindung,</w:t>
      </w:r>
    </w:p>
    <w:p>
      <w:pPr>
        <w:ind w:left="420"/>
      </w:pPr>
      <w:r>
        <w:t xml:space="preserve">2. die Hebamme oder den Entbindungspfleger im Rahmen der jeweiligen landesrechtlichen Gebührenordnung,</w:t>
      </w:r>
    </w:p>
    <w:p>
      <w:pPr>
        <w:ind w:left="420"/>
      </w:pPr>
      <w:r>
        <w:t xml:space="preserve">3. von Hebammen oder Entbindungspflegern geleitete Einrichtungen im Sinne des § 134a des Fünften Buches Sozialgesetzbuch,</w:t>
      </w:r>
    </w:p>
    <w:p>
      <w:pPr>
        <w:ind w:left="420"/>
      </w:pPr>
      <w:r>
        <w:t xml:space="preserve">4. eine Haus- und Wochenpflegekraft für bis zu zwei Wochen nach der Geburt bei Hausentbindungen oder ambulanten Entbindungen; § 27 Absatz 5 gilt entsprechend.</w:t>
      </w:r>
    </w:p>
    <w:p>
      <w:r>
        <w:t xml:space="preserve">(2) Bei Personen, die nach § 3 beihilfeberechtigt oder bei einer nach § 3 beihilfeberechtigten Person berücksichtigungsfähig sind, sind in Geburtsfällen zusätzlich die vor Aufnahme in ein Krankenhaus am Entbindungsort entstehenden Kosten der Unterkunft beihilfefähig. § 32 Abs. 3 Satz 2 gilt entsprechend. Dies gilt nicht für die Unterkunft im Haushalt des Ehegatten, der Lebenspartnerin, der Eltern oder der Kinder der Schwangeren.</w:t>
      </w:r>
    </w:p>
    <w:p>
      <w:r>
        <w:rPr>
          <w:color w:val="555555"/>
          <w:sz w:val="17"/>
        </w:rPr>
        <w:t xml:space="preserve">Zitiervorschlag: § 42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