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39a BBhV — Einrichtungen der Behindertenhilfe</w:t>
      </w:r>
    </w:p>
    <w:p>
      <w:r>
        <w:rPr>
          <w:color w:val="555555"/>
          <w:sz w:val="18"/>
        </w:rPr>
        <w:t xml:space="preserve">Bundesbeihilfeverordnung</w:t>
      </w:r>
    </w:p>
    <w:p>
      <w:r>
        <w:rPr>
          <w:color w:val="555555"/>
          <w:sz w:val="18"/>
        </w:rPr>
        <w:t xml:space="preserve">Stand: 01.01.2021 (konsolidierte Textfassung, kein amtliches Inkrafttretensdatum)</w:t>
      </w:r>
    </w:p>
    <w:p>
      <w:r>
        <w:t xml:space="preserve">Aufwendungen für Pflege, Betreuung und für Leistungen der medizinischen Behandlungspflege in einer vollstationären Einrichtung im Sinne des § 71 Absatz 4 Nummer 1 des Elften Buches Sozialgesetzbuch, in der die Teilhabe am Arbeitsleben, an Bildung oder die soziale Teilhabe, die schulische Ausbildung oder die Erziehung behinderter Menschen im Vordergrund des Einrichtungszwecks stehen, sind entsprechend § 43a des Elften Buches Sozialgesetzbuch beihilfefähig. Satz 1 gilt auch für pflegebedürftige Personen in Räumlichkeiten im Sinne des § 71 Absatz 4 Nummer 3 des Elften Buches Sozialgesetzbuch, in denen Leistungen der Eingliederungshilfe für Menschen mit Behinderungen nach Teil 2 des Neunten Buches Sozialgesetzbuch erbracht werden.</w:t>
      </w:r>
    </w:p>
    <w:p>
      <w:r>
        <w:rPr>
          <w:color w:val="555555"/>
          <w:sz w:val="17"/>
        </w:rPr>
        <w:t xml:space="preserve">Zitiervorschlag: § 39a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https://recht.nulegal.eu/gesetze/BBhV/39a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