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BBhV — Vollstationäre Pflege</w:t>
      </w:r>
    </w:p>
    <w:p>
      <w:r>
        <w:rPr>
          <w:color w:val="555555"/>
          <w:sz w:val="18"/>
        </w:rPr>
        <w:t xml:space="preserve">Bundesbeihilfeverordnung</w:t>
      </w:r>
    </w:p>
    <w:p>
      <w:r>
        <w:rPr>
          <w:color w:val="555555"/>
          <w:sz w:val="18"/>
        </w:rPr>
        <w:t xml:space="preserve">Stand: 01.01.2025 (konsolidierte Textfassung, kein amtliches Inkrafttretensdatum)</w:t>
      </w:r>
    </w:p>
    <w:p>
      <w:r>
        <w:t xml:space="preserve">(1) Aufwendungen für vollstationäre Pflege in einer zugelassenen Pflegeeinrichtung im Sinne des § 72 Absatz 1 Satz 1 des Elften Buches Sozialgesetzbuch oder in einer vergleichbaren Pflegeeinrichtung sind beihilfefähig, wenn häusliche oder teilstationäre Pflege nicht möglich ist oder wegen der Besonderheit des Einzelfalls nicht in Betracht kommt. Beihilfefähig sind:</w:t>
      </w:r>
    </w:p>
    <w:p>
      <w:pPr>
        <w:ind w:left="420"/>
      </w:pPr>
      <w:r>
        <w:t xml:space="preserve">1. pflegebedingte Aufwendungen einschließlich der Aufwendungen für Betreuung und</w:t>
      </w:r>
    </w:p>
    <w:p>
      <w:pPr>
        <w:ind w:left="420"/>
      </w:pPr>
      <w:r>
        <w:t xml:space="preserve">2. Aufwendungen für medizinische Behandlungspflege, sofern hierzu nicht nach § 27 Beihilfe gewährt wird.</w:t>
      </w:r>
    </w:p>
    <w:p>
      <w:r>
        <w:t xml:space="preserve">§ 43 Absatz 2 und 4 und § 43c des Elften Buches Sozialgesetzbuch gelten entsprechend.</w:t>
      </w:r>
    </w:p>
    <w:p>
      <w:r>
        <w:t xml:space="preserve">(2) Rechnet die Pflegeeinrichtung monatlich ab, so sind auf besonderen Antrag Aufwendungen für Pflegeleistungen, die über die nach Absatz 1 beihilfefähigen Aufwendungen hinausgehen, sowie für Verpflegung und Unterkunft einschließlich der Investitionskosten beihilfefähig, sofern von den durchschnittlichen monatlichen nach Absatz 3 maßgeblichen Einnahmen höchstens ein Betrag in Höhe der Summe der folgenden monatlichen Beträge verbleibt:</w:t>
      </w:r>
    </w:p>
    <w:p>
      <w:pPr>
        <w:ind w:left="420"/>
      </w:pPr>
      <w:r>
        <w:t xml:space="preserve">1. 8 Prozent des Grundgehalts der Stufe 8 der Besoldungsgruppe A 13 für jede beihilfeberechtigte und jede berücksichtigungsfähige Person sowie für jede Ehegattin oder jeden Ehegatten oder für jede Lebenspartnerin oder jeden Lebenspartner, für die oder den ein Anspruch nach Absatz 1 oder nach § 43 Absatz 1, 2 und 4 des Elften Buches Sozialgesetzbuch besteht,</w:t>
      </w:r>
    </w:p>
    <w:p>
      <w:pPr>
        <w:ind w:left="420"/>
      </w:pPr>
      <w:r>
        <w:t xml:space="preserve">2. 30 Prozent des Grundgehalts der Stufe 8 der Besoldungsgruppe A 13 für eine beihilfeberechtigte Person sowie für eine Ehegattin oder einen Ehegatten oder für eine Lebenspartnerin oder einen Lebenspartner, für die oder den kein Anspruch nach Absatz 1 oder nach § 43 Absatz 1, 2 und 4 des Elften Buches Sozialgesetzbuch besteht,</w:t>
      </w:r>
    </w:p>
    <w:p>
      <w:pPr>
        <w:ind w:left="420"/>
      </w:pPr>
      <w:r>
        <w:t xml:space="preserve">3. 3 Prozent des Grundgehalts der Stufe 8 der Besoldungsgruppe A 13 für jedes berücksichtigungsfähige Kind, für das kein Anspruch auf Beihilfe nach Absatz 1 oder nach § 43 Absatz 1, 2 und 4 des Elften Buches Sozialgesetzbuch besteht, und</w:t>
      </w:r>
    </w:p>
    <w:p>
      <w:pPr>
        <w:ind w:left="420"/>
      </w:pPr>
      <w:r>
        <w:t xml:space="preserve">4. 3 Prozent des Grundgehalts der letzten Besoldungsgruppe für die beihilfeberechtigte Person.</w:t>
      </w:r>
    </w:p>
    <w:p>
      <w:r>
        <w:t xml:space="preserve">Satz 1 gilt bei anderen Abrechnungszeiträumen entsprechend. Hat eine beihilfeberechtigte oder eine berücksichtigungsfähige Person Anspruch auf Zuschuss zu den Unterkunfts-, Investitions- und Verpflegungskosten nach landesrechtlichen Vorschriften, sind die Aufwendungen nach Satz 1 in Höhe des tatsächlich gezahlten Zuschusses zu mindern.</w:t>
      </w:r>
    </w:p>
    <w:p>
      <w:r>
        <w:t xml:space="preserve">(3) Maßgeblich sind die im Kalenderjahr vor dem Entstehen der pflegebedingten Aufwendungen erzielten Einnahmen. Einnahmen sind:</w:t>
      </w:r>
    </w:p>
    <w:p>
      <w:pPr>
        <w:ind w:left="420"/>
      </w:pPr>
      <w:r>
        <w:t xml:space="preserve">1. die Bruttobezüge nach § 1 Absatz 2 Nummer 1 und 3 und Absatz 3 des Bundesbesoldungsgesetzes, die nach Anwendung von Ruhens-, Kürzungs- und Anrechnungsvorschriften verbleiben, und der Altersteilzeitzuschlag; unberücksichtigt bleibt der kinderbezogene Familienzuschlag,</w:t>
      </w:r>
    </w:p>
    <w:p>
      <w:pPr>
        <w:ind w:left="420"/>
      </w:pPr>
      <w:r>
        <w:t xml:space="preserve">2. die Bruttobezüge nach § 2 des Beamtenversorgungsgesetzes, die nach Anwendung von Ruhens-, Kürzungs- und Anrechnungsvorschriften verbleiben; unberücksichtigt bleiben das Sterbegeld nach § 18 des Beamtenversorgungsgesetzes, der Unterschiedsbetrag nach § 50 Absatz 1 Satz 2 des Beamtenversorgungsgesetzes, sofern der beihilfeberechtigten Person nicht nach § 57 des Beamtenversorgungsgesetzes geringere Versorgungsbezüge zustehen, sowie der Unfallausgleich nach § 35 des Beamtenversorgungsgesetzes und die Unfallentschädigung nach § 43 des Beamtenversorgungsgesetzes,</w:t>
      </w:r>
    </w:p>
    <w:p>
      <w:pPr>
        <w:ind w:left="420"/>
      </w:pPr>
      <w:r>
        <w:t xml:space="preserve">3. der Zahlbetrag der Renten aus der gesetzlichen Rentenversicherung und aus einer zusätzlichen Alters- und Hinterbliebenenversorgung der beihilfeberechtigten Person, der Ehegattin oder des Ehegatten oder der Lebenspartnerin oder des Lebenspartners; maßgeblich ist der Betrag, der sich vor Abzug der Beiträge zur Kranken- und Pflegeversicherung und ohne Berücksichtigung des Beitragszuschusses ergibt; eine Leistung für Kindererziehung nach § 294 des Sechsten Buches Sozialgesetzbuch bleibt unberücksichtigt,</w:t>
      </w:r>
    </w:p>
    <w:p>
      <w:pPr>
        <w:ind w:left="420"/>
      </w:pPr>
      <w:r>
        <w:t xml:space="preserve">4. die unter § 2 Absatz 2 des Einkommenssteuergesetzes fallenden Einkünfte der beihilfeberechtigten Person aus selbständiger und nicht selbständiger Arbeit und</w:t>
      </w:r>
    </w:p>
    <w:p>
      <w:pPr>
        <w:ind w:left="420"/>
      </w:pPr>
      <w:r>
        <w:t xml:space="preserve">5. der unter § 2 Absatz 3 des Einkommensteuergesetzes fallende Gesamtbetrag der Einkünfte der Ehegattin oder des Ehegatten oder der Lebenspartnerin oder des Lebenspartners; unberücksichtigt bleibt der Anteil einer gesetzlichen Rente, der der Besteuerung unterliegt.</w:t>
      </w:r>
    </w:p>
    <w:p>
      <w:r>
        <w:t xml:space="preserve">Die Einnahmen sind jährlich nachzuweisen. Macht die beihilfeberechtigte Person glaubhaft, dass die aktuellen Einnahmen voraussichtlich wesentlich geringer sind als die im Kalenderjahr vor dem Entstehen der pflegebedingten Aufwendungen erzielten durchschnittlichen monatlichen Einnahmen, sind die Einnahmen im jeweiligen Pflegemonat zugrunde zu legen. Hat die beihilfeberechtigte Person keine Einnahmen nach Satz 1 aus dem Kalenderjahr vor dem Entstehen der pflegebedingten Aufwendungen, werden die voraussichtlichen Einnahmen im jeweiligen Pflegemonat zugrunde gelegt. Befinden sich verheiratete oder in einer Lebenspartnerschaft lebende Personen in vollstationärer Pflege und verstirbt die beihilfeberechtigte Person, sind die aktuellen Einnahmen im jeweiligen Pflegemonat zugrunde zu legen, bis die Voraussetzungen nach Satz 4 nicht mehr vorliegen.</w:t>
      </w:r>
    </w:p>
    <w:p>
      <w:r>
        <w:t xml:space="preserve">(4) Beihilfefähig sind Aufwendungen für zusätzliche Betreuung und Aktivierung entsprechend § 43b des Elften Buches Sozialgesetzbuch, die über die nach Art und Schwere der Pflegebedürftigkeit notwendige Versorgung hinausgeht.</w:t>
      </w:r>
    </w:p>
    <w:p>
      <w:r>
        <w:t xml:space="preserve">(5) Beihilfefähig sind Aufwendungen entsprechend § 87a Absatz 4 des Elften Buches Sozialgesetzbuch, wenn</w:t>
      </w:r>
    </w:p>
    <w:p>
      <w:pPr>
        <w:ind w:left="420"/>
      </w:pPr>
      <w:r>
        <w:t xml:space="preserve">1. die pflegebedürftige beihilfeberechtigte oder berücksichtigungsfähige Person nach der Durchführung aktivierender oder rehabilitativer Maßnahmen in einen niedrigeren Pflegegrad zurückgestuft wurde oder</w:t>
      </w:r>
    </w:p>
    <w:p>
      <w:pPr>
        <w:ind w:left="420"/>
      </w:pPr>
      <w:r>
        <w:t xml:space="preserve">2. festgestellt wurde, dass die zuvor pflegebedürftige beihilfeberechtigte oder berücksichtigungsfähige Person nicht mehr pflegebedürftig im Sinne der §§ 14 und 15 des Elften Buches Sozialgesetzbuch ist.</w:t>
      </w:r>
    </w:p>
    <w:p>
      <w:r>
        <w:t xml:space="preserve">(6) Absatz 2 gilt nicht für Zusatzleistungen nach § 88 des Elften Buches Sozialgesetzbuch.</w:t>
      </w:r>
    </w:p>
    <w:p>
      <w:r>
        <w:rPr>
          <w:color w:val="555555"/>
          <w:sz w:val="17"/>
        </w:rPr>
        <w:t xml:space="preserve">Zitiervorschlag: § 39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