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38h BBhV — Leistungen zur sozialen Sicherung der Pflegeperson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der Pflegeperson sind beihilfefähig</w:t>
      </w:r>
    </w:p>
    <w:p>
      <w:pPr>
        <w:ind w:left="420"/>
      </w:pPr>
      <w:r>
        <w:t xml:space="preserve">1. Zuschüsse zur Kranken- und Pflegeversicherung nach § 44a Absatz 1 und 4 des Elften Buches Sozialgesetzbuch und</w:t>
      </w:r>
    </w:p>
    <w:p>
      <w:pPr>
        <w:ind w:left="420"/>
      </w:pPr>
      <w:r>
        <w:t xml:space="preserve">2. Pflegeunterstützungsgeld nach § 44a Absatz 3 des Elften Buches Sozialgesetzbuch.</w:t>
      </w:r>
    </w:p>
    <w:p>
      <w:r>
        <w:t xml:space="preserve">(2) Die Festsetzungsstelle führt an die jeweiligen Leistungsträger Leistungen ab für die</w:t>
      </w:r>
    </w:p>
    <w:p>
      <w:pPr>
        <w:ind w:left="420"/>
      </w:pPr>
      <w:r>
        <w:t xml:space="preserve">1. Pflegeperson im Sinne des § 19 des Elften Buches Sozialgesetzbuch zur sozialen Sicherung nach § 44 Absatz 1, 2 und 2b des Elften Buches Sozialgesetzbuch und</w:t>
      </w:r>
    </w:p>
    <w:p>
      <w:pPr>
        <w:ind w:left="420"/>
      </w:pPr>
      <w:r>
        <w:t xml:space="preserve">2. Bezieherinnen und Bezieher von Pflegeunterstützungsgeld nach § 26 Absatz 2 Nummer 2b des Dritten Buches Sozialgesetzbuch in Verbindung mit den §§ 345 und 347 des Dritten Buches Sozialgesetzbuch.</w:t>
      </w:r>
    </w:p>
    <w:p>
      <w:r>
        <w:t xml:space="preserve">(3) Die Leistungen nach den Absätzen 1 und 2 werden in der Höhe gewährt, die dem Bemessungssatz der beihilfeberechtigten oder berücksichtigungsfähigen Person entspricht.</w:t>
      </w:r>
    </w:p>
    <w:p>
      <w:r>
        <w:rPr>
          <w:color w:val="555555"/>
          <w:sz w:val="17"/>
        </w:rPr>
        <w:t xml:space="preserve">Zitiervorschlag: § 38h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https://recht.nulegal.eu/gesetze/BBhV/38h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