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BBhV — Soziotherapie</w:t>
      </w:r>
    </w:p>
    <w:p>
      <w:r>
        <w:rPr>
          <w:color w:val="555555"/>
          <w:sz w:val="18"/>
        </w:rPr>
        <w:t xml:space="preserve">Bundesbeihilfeverordnung</w:t>
      </w:r>
    </w:p>
    <w:p>
      <w:r>
        <w:rPr>
          <w:color w:val="555555"/>
          <w:sz w:val="18"/>
        </w:rPr>
        <w:t xml:space="preserve">Stand: 10.06.2019 (konsolidierte Textfassung, kein amtliches Inkrafttretensdatum)</w:t>
      </w:r>
    </w:p>
    <w:p>
      <w:r>
        <w:t xml:space="preserve">Aufwendungen für Soziotherapie sind beihilfefähig, wenn die beihilfeberechtigte oder berücksichtigungsfähige Person wegen einer schweren psychischen Erkrankung nicht in der Lage ist, ärztliche oder ärztlich verordnete Leistungen selbständig in Anspruch zu nehmen, und durch die Soziotherapie eine Krankenhausbehandlung vermieden oder verkürzt wird. Dies gilt auch, wenn die Krankenhausbehandlung geboten, aber nicht durchführbar ist. Inhalt und Ausgestaltung der Soziotherapie richten sich nach § 37a des Fünften Buches Sozialgesetzbuch.</w:t>
      </w:r>
    </w:p>
    <w:p>
      <w:r>
        <w:rPr>
          <w:color w:val="555555"/>
          <w:sz w:val="17"/>
        </w:rPr>
        <w:t xml:space="preserve">Zitiervorschlag: § 30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