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BBhV — Familien- und Haushaltshilfe im Ausland</w:t>
      </w:r>
    </w:p>
    <w:p>
      <w:r>
        <w:rPr>
          <w:color w:val="555555"/>
          <w:sz w:val="18"/>
        </w:rPr>
        <w:t xml:space="preserve">Bundesbeihilfeverordnung</w:t>
      </w:r>
    </w:p>
    <w:p>
      <w:r>
        <w:rPr>
          <w:color w:val="555555"/>
          <w:sz w:val="18"/>
        </w:rPr>
        <w:t xml:space="preserve">Stand: 10.06.2019 (konsolidierte Textfassung, kein amtliches Inkrafttretensdatum)</w:t>
      </w:r>
    </w:p>
    <w:p>
      <w:r>
        <w:t xml:space="preserve">(1) Aufwendungen beihilfeberechtigter Personen nach § 3 für eine Familien- und Haushaltshilfe sind auch dann beihilfefähig, wenn</w:t>
      </w:r>
    </w:p>
    <w:p>
      <w:pPr>
        <w:ind w:left="420"/>
      </w:pPr>
      <w:r>
        <w:t xml:space="preserve">1. eine ambulante ärztliche Behandlung der beihilfeberechtigten oder berücksichtigungsfähigen Person, die den Haushalt allein führt, in einem anderen Land als dem Gastland notwendig ist,</w:t>
      </w:r>
    </w:p>
    <w:p>
      <w:pPr>
        <w:ind w:left="420"/>
      </w:pPr>
      <w:r>
        <w:t xml:space="preserve">2. mindestens eine berücksichtigungsfähige Person, die das vierte Lebensjahr noch nicht vollendet hat, im Haushalt zurückbleibt und</w:t>
      </w:r>
    </w:p>
    <w:p>
      <w:pPr>
        <w:ind w:left="420"/>
      </w:pPr>
      <w:r>
        <w:t xml:space="preserve">3. die Behandlung wenigstens zwei Übernachtungen erfordert.</w:t>
      </w:r>
    </w:p>
    <w:p>
      <w:r>
        <w:t xml:space="preserve">(2) Im Geburtsfall sind die Aufwendungen für eine Familien- und Haushaltshilfe auch dann beihilfefähig, wenn eine sachgemäße ärztliche Versorgung am Dienstort nicht gewährleistet ist und der Dienstort wegen späterer Fluguntauglichkeit vorzeitig verlassen werden muss. Maßgeblich ist die ärztlich festgestellte notwendige Abwesenheitsdauer.</w:t>
      </w:r>
    </w:p>
    <w:p>
      <w:r>
        <w:t xml:space="preserve">(3) Werden statt der Inanspruchnahme einer Familien- und Haushaltshilfe berücksichtigungsfähige Personen, die das vierte Lebensjahr noch nicht vollendet haben, beim Verlassen des Dienstortes mitgenommen, sind die hierfür notwendigen Fahrtkosten beihilfefähig. Übernehmen die Ehegattin, der Ehegatte, die Lebenspartnerin, der Lebenspartner, die Eltern oder die Kinder des die Familien- und Haushaltshilfe in Anspruch Nehmenden die Führung des Haushalts, sind die damit verbundenen Fahrtkosten bis zur Höhe der andernfalls für eine Familien- und Haushaltshilfe anfallenden Aufwendungen beihilfefähig.</w:t>
      </w:r>
    </w:p>
    <w:p>
      <w:r>
        <w:rPr>
          <w:color w:val="555555"/>
          <w:sz w:val="17"/>
        </w:rPr>
        <w:t xml:space="preserve">Zitiervorschlag: § 29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