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 BBhV — Familien- und Haushaltshilfe</w:t>
      </w:r>
    </w:p>
    <w:p>
      <w:r>
        <w:rPr>
          <w:color w:val="555555"/>
          <w:sz w:val="18"/>
        </w:rPr>
        <w:t xml:space="preserve">Bundesbeihilfeverordnung</w:t>
      </w:r>
    </w:p>
    <w:p>
      <w:r>
        <w:rPr>
          <w:color w:val="555555"/>
          <w:sz w:val="18"/>
        </w:rPr>
        <w:t xml:space="preserve">Stand: 01.04.2024 (konsolidierte Textfassung, kein amtliches Inkrafttretensdatum)</w:t>
      </w:r>
    </w:p>
    <w:p>
      <w:r>
        <w:t xml:space="preserve">(1) Die Aufwendungen für eine Familien- und Haushaltshilfe sind pro Stunde bis zur Höhe des 1,17-fachen Betrages des sich aus § 1 Absatz 2 Satz 1 des Mindestlohngesetzes ergebenden Mindestlohns, aufgerundet auf volle Euro, beihilfefähig, wenn</w:t>
      </w:r>
    </w:p>
    <w:p>
      <w:pPr>
        <w:ind w:left="420"/>
      </w:pPr>
      <w:r>
        <w:t xml:space="preserve">1. die den Haushalt führende beihilfeberechtigte oder berücksichtigungsfähige Person den Haushalt wegen ihrer notwendigen außerhäuslichen Unterbringung (§ 24 Absatz 1 und 3, §§ 26, 26a und 32 Absatz 1, §§ 34 und 35 Absatz 1 Nummer 1 bis 5, §§ 39 und 40 Absatz 2) nicht weiterführen kann oder verstorben ist,</w:t>
      </w:r>
    </w:p>
    <w:p>
      <w:pPr>
        <w:ind w:left="420"/>
      </w:pPr>
      <w:r>
        <w:t xml:space="preserve">2. im Haushalt mindestens eine beihilfeberechtigte oder berücksichtigungsfähige Person verbleibt, die pflegebedürftig ist oder das zwölfte Lebensjahr noch nicht vollendet hat, und</w:t>
      </w:r>
    </w:p>
    <w:p>
      <w:pPr>
        <w:ind w:left="420"/>
      </w:pPr>
      <w:r>
        <w:t xml:space="preserve">3. keine andere im Haushalt lebende Person den Haushalt weiterführen kann.</w:t>
      </w:r>
    </w:p>
    <w:p>
      <w:r>
        <w:t xml:space="preserve">In Ausnahmefällen kann im Hinblick auf die Fürsorgepflicht nach § 78 des Bundesbeamtengesetzes mit Zustimmung der obersten Dienstbehörde von diesen Voraussetzungen abgewichen werden.</w:t>
      </w:r>
    </w:p>
    <w:p>
      <w:r>
        <w:t xml:space="preserve">(2) Aufwendungen für eine Familien- und Haushaltshilfe, deren Notwendigkeit ärztlich bescheinigt worden ist, sind in der in Absatz 1 bestimmten Höhe bis zu 28 Tagen beihilfefähig</w:t>
      </w:r>
    </w:p>
    <w:p>
      <w:pPr>
        <w:ind w:left="420"/>
      </w:pPr>
      <w:r>
        <w:t xml:space="preserve">1. bei schwerer Krankheit oder</w:t>
      </w:r>
    </w:p>
    <w:p>
      <w:pPr>
        <w:ind w:left="420"/>
      </w:pPr>
      <w:r>
        <w:t xml:space="preserve">2. bei akuter Verschlimmerung einer Krankheit,</w:t>
      </w:r>
    </w:p>
    <w:p>
      <w:r>
        <w:t xml:space="preserve">insbesondere unmittelbar nach einem Krankenhausaufenthalt, unmittelbar nach einer ambulanten Operation oder unmittelbar nach einer ambulanten Krankenhausbehandlung. Satz 1 gilt auch für Alleinstehende. Absatz 1 Satz 2 und § 27 Absatz 5 gelten entsprechend.</w:t>
      </w:r>
    </w:p>
    <w:p>
      <w:r>
        <w:t xml:space="preserve">(3) Nach dem Tod der haushaltführenden Person sind die Aufwendungen nach Absatz 1 für sechs Monate, in Ausnahmefällen für zwölf Monate, beihilfefähig. § 27 Absatz 5 gilt entsprechend.</w:t>
      </w:r>
    </w:p>
    <w:p>
      <w:r>
        <w:t xml:space="preserve">(4) Werden statt der Inanspruchnahme einer Familien- und Haushaltshilfe berücksichtigungsfähige Personen, die das zwölfte Lebensjahr noch nicht vollendet haben, oder pflegebedürftige berücksichtigungsfähige oder selbst beihilfeberechtigte Personen in einem Heim oder in einem fremden Haushalt untergebracht, sind die Aufwendungen hierfür bis zu den sonst notwendigen Kosten einer Familien- und Haushaltshilfe beihilfefähig.</w:t>
      </w:r>
    </w:p>
    <w:p>
      <w:r>
        <w:t xml:space="preserve">(5) Aufwendungen für notwendige Fahrtkosten sind in Höhe der Reisekostenvergütung nach den §§ 3, 4 und 5 Absatz 1 des Bundesreisekostengesetzes beihilfefähig.</w:t>
      </w:r>
    </w:p>
    <w:p>
      <w:r>
        <w:rPr>
          <w:color w:val="555555"/>
          <w:sz w:val="17"/>
        </w:rPr>
        <w:t xml:space="preserve">Zitiervorschlag: § 28 BBhV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https://recht.nulegal.eu/gesetze/BBhV/28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