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BBhV — Außerklinische Intensivpflege</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eine außerklinische Intensivpflege nach § 37c des Fünften Buches Sozialgesetzbuch sind beihilfefähig, wenn ein besonders hoher Bedarf an medizinischer Behandlungspflege besteht. Der besonders hohe Bedarf an medizinischer Behandlungspflege kann nachgewiesen werden durch</w:t>
      </w:r>
    </w:p>
    <w:p>
      <w:pPr>
        <w:ind w:left="420"/>
      </w:pPr>
      <w:r>
        <w:t xml:space="preserve">1. eine ärztliche Verordnung aus der, zum Beispiel aus den Angaben zur Dauer oder zum notwendigen Umfang der medizinischen Behandlungspflege, der besonders hohe Bedarf an medizinischer Behandlungspflege, insbesondere der Bedarf zur Bedienung und Überwachung eines Beatmungsgerätes, hervorgeht, oder</w:t>
      </w:r>
    </w:p>
    <w:p>
      <w:pPr>
        <w:ind w:left="420"/>
      </w:pPr>
      <w:r>
        <w:t xml:space="preserve">2. die Feststellung eines besonders hohen Bedarfs an medizinischer Behandlungspflege durch einen Träger der gesetzlichen Krankenversicherung, ein Unternehmen der privaten Krankenversicherung oder die Postbeamtenkrankenkasse.</w:t>
      </w:r>
    </w:p>
    <w:p>
      <w:r>
        <w:t xml:space="preserve">Spätestens zwölf Monate nach einer Erstausstellung oder einer Folgeausstellung ist ein erneuter Nachweis nach Satz 2 Nummer 1 oder nach Satz 2 Nummer 2 zu erbringen.</w:t>
      </w:r>
    </w:p>
    <w:p>
      <w:r>
        <w:t xml:space="preserve">(2) Erfolgt die außerklinische Intensivpflege in einer vollstationären Pflegeeinrichtung, die Leistungen nach § 43 des Elften Buches Sozialgesetzbuch erbringt, sind unter Anrechnung des von der Pflegekasse nach § 43 Absatz 2 Satz 2 und Absatz 3 des Elften Buches Sozialgesetzbuch jeweils übernommenen Leistungsbetrags Aufwendungen beihilfefähig für</w:t>
      </w:r>
    </w:p>
    <w:p>
      <w:pPr>
        <w:ind w:left="420"/>
      </w:pPr>
      <w:r>
        <w:t xml:space="preserve">1. die Pflege und die Betreuung,</w:t>
      </w:r>
    </w:p>
    <w:p>
      <w:pPr>
        <w:ind w:left="420"/>
      </w:pPr>
      <w:r>
        <w:t xml:space="preserve">2. die medizinische Behandlungspflege nach § 43 Absatz 2 und 3 des Elften Buches Sozialgesetzbuch,</w:t>
      </w:r>
    </w:p>
    <w:p>
      <w:pPr>
        <w:ind w:left="420"/>
      </w:pPr>
      <w:r>
        <w:t xml:space="preserve">3. die betriebsnotwendigen Investitionskosten sowie</w:t>
      </w:r>
    </w:p>
    <w:p>
      <w:pPr>
        <w:ind w:left="420"/>
      </w:pPr>
      <w:r>
        <w:t xml:space="preserve">4. die Entgelte für Unterkunft und Verpflegung nach § 87 des Elften Buches Sozialgesetzbuch.</w:t>
      </w:r>
    </w:p>
    <w:p>
      <w:r>
        <w:t xml:space="preserve">Nach dem Wegfall eines besonders hohen Bedarfs an medizinischer Behandlungspflege sind Aufwendungen in dem nach Satz 1 beihilfefähigen Umfang weiterhin beihilfefähig, wenn eine Pflegebedürftigkeit des Pflegegrades 2, 3, 4 oder 5 im Sinne des § 15 Absatz 3 Satz 4 Nummer 2 bis 5 des Elften Buches Sozialgesetzbuch festgestellt ist.</w:t>
      </w:r>
    </w:p>
    <w:p>
      <w:r>
        <w:t xml:space="preserve">(3) Die in den §§ 27 und 39 genannten Aufwendungen sind nicht neben den in den Absätzen 1 und 2 genannten Aufwendungen beihilfefähig.</w:t>
      </w:r>
    </w:p>
    <w:p>
      <w:r>
        <w:rPr>
          <w:color w:val="555555"/>
          <w:sz w:val="17"/>
        </w:rPr>
        <w:t xml:space="preserve">Zitiervorschlag: § 27a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