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26b BBhV — Übergangspflege im Krankenhaus</w:t>
      </w:r>
    </w:p>
    <w:p>
      <w:r>
        <w:rPr>
          <w:color w:val="555555"/>
          <w:sz w:val="18"/>
        </w:rPr>
        <w:t xml:space="preserve">Bundesbeihilfeverordnung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Aufwendungen für die in § 39e Absatz 1 und 2 Satz 1 des Fünften Buches Sozialgesetzbuch genannten Leistungen der Übergangspflege sind für längstens zehn Tage im Anschluss an eine Krankenhausbehandlung beihilfefähig. Nicht beihilfefähig sind Aufwendungen für gesondert berechnete Wahlleistungen für Unterkunft.</w:t>
      </w:r>
    </w:p>
    <w:p>
      <w:r>
        <w:rPr>
          <w:color w:val="555555"/>
          <w:sz w:val="17"/>
        </w:rPr>
        <w:t xml:space="preserve">Zitiervorschlag: § 26b BBhV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https://recht.nulegal.eu/gesetze/BBhV/26b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