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BBhV — Digitale Gesundheitsanwendungen</w:t>
      </w:r>
    </w:p>
    <w:p>
      <w:r>
        <w:rPr>
          <w:color w:val="555555"/>
          <w:sz w:val="18"/>
        </w:rPr>
        <w:t xml:space="preserve">Bundesbeihilfeverordnung</w:t>
      </w:r>
    </w:p>
    <w:p>
      <w:r>
        <w:rPr>
          <w:color w:val="555555"/>
          <w:sz w:val="18"/>
        </w:rPr>
        <w:t xml:space="preserve">Stand: 01.04.2024 (konsolidierte Textfassung, kein amtliches Inkrafttretensdatum)</w:t>
      </w:r>
    </w:p>
    <w:p>
      <w:r>
        <w:t xml:space="preserve">(1) Aufwendungen für digitale Gesundheitsanwendungen nach § 33a Absatz 1 Satz 1 des Fünften Buches Sozialgesetzbuch sind beihilfefähig, wenn die digitalen Gesundheitsanwendungen</w:t>
      </w:r>
    </w:p>
    <w:p>
      <w:pPr>
        <w:ind w:left="420"/>
      </w:pPr>
      <w:r>
        <w:t xml:space="preserve">1. in dem beim Bundesinstitut für Arzneimittel und Medizinprodukte geführten Verzeichnis digitaler Gesundheitsanwendungen, das nach § 139e Absatz 1 Satz 3 des Fünften Buches Sozialgesetzbuch im Bundesanzeiger bekannt gemacht und auf der Internetseite https://diga.bfarm.de veröffentlicht wird, aufgeführt sind und</w:t>
      </w:r>
    </w:p>
    <w:p>
      <w:pPr>
        <w:ind w:left="420"/>
      </w:pPr>
      <w:r>
        <w:t xml:space="preserve">2. von einer Ärztin oder einem Arzt oder einer Psychotherapeutin oder einem Psychotherapeuten verordnet worden sind.</w:t>
      </w:r>
    </w:p>
    <w:p>
      <w:r>
        <w:t xml:space="preserve">Die Aufwendungen sind nur beihilfefähig bis zu den Kosten für die Standardversion der digitalen Gesundheitsanwendung, sofern nicht aus ärztlicher oder therapeutischer Sicht die Notwendigkeit einer erweiterten Version schriftlich oder elektronisch begründet wurde. Aufwendungen für Zubehör der digitalen Gesundheitsanwendung sind beihilfefähig, wenn das Zubehör ausschließlich für die Nutzung der digitalen Gesundheitsanwendung zwingend erforderlich ist.</w:t>
      </w:r>
    </w:p>
    <w:p>
      <w:r>
        <w:t xml:space="preserve">(2) Nicht beihilfefähig sind die Aufwendungen für</w:t>
      </w:r>
    </w:p>
    <w:p>
      <w:pPr>
        <w:ind w:left="420"/>
      </w:pPr>
      <w:r>
        <w:t xml:space="preserve">1. die Beschaffung, den Betrieb und die technische Anbindung der zur Nutzung der digitalen Gesundheitsanwendung erforderlichen Endgeräte,</w:t>
      </w:r>
    </w:p>
    <w:p>
      <w:pPr>
        <w:ind w:left="420"/>
      </w:pPr>
      <w:r>
        <w:t xml:space="preserve">2. die zur Nutzung der digitalen Gesundheitsanwendung erforderlichen Telekommunikationsdienstleistungen,</w:t>
      </w:r>
    </w:p>
    <w:p>
      <w:pPr>
        <w:ind w:left="420"/>
      </w:pPr>
      <w:r>
        <w:t xml:space="preserve">3. Zweit- oder Mehrfachbeschaffungen der digitalen Gesundheitsanwendung zur Nutzung auf verschiedenen Endgeräten; dies gilt auch für eine teurere Version der digitalen Gesundheitsanwendung, die Lizenzen für die Nutzung auf mehreren Endgeräten beinhaltet, und</w:t>
      </w:r>
    </w:p>
    <w:p>
      <w:pPr>
        <w:ind w:left="420"/>
      </w:pPr>
      <w:r>
        <w:t xml:space="preserve">4. Zubehör, das den allgemeinen Lebenshaltungskosten zuzurechnen ist wie zum Beispiel Aktualisierungs- oder Ergänzungssoftware für Betriebsprogramme, Kopfhörer, Mikrofone oder vergleichbare Hardware und digitale Waagen.</w:t>
      </w:r>
    </w:p>
    <w:p>
      <w:r>
        <w:rPr>
          <w:color w:val="555555"/>
          <w:sz w:val="17"/>
        </w:rPr>
        <w:t xml:space="preserve">Zitiervorschlag: § 25a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