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23 BBhV — Heilmittel</w:t>
      </w:r>
    </w:p>
    <w:p>
      <w:r>
        <w:rPr>
          <w:color w:val="555555"/>
          <w:sz w:val="18"/>
        </w:rPr>
        <w:t xml:space="preserve">Bundesbeihilfeverordnung</w:t>
      </w:r>
    </w:p>
    <w:p>
      <w:r>
        <w:rPr>
          <w:color w:val="555555"/>
          <w:sz w:val="18"/>
        </w:rPr>
        <w:t xml:space="preserve">Stand: 01.01.2026 (konsolidierte Textfassung, kein amtliches Inkrafttretensdatum)</w:t>
      </w:r>
    </w:p>
    <w:p>
      <w:r>
        <w:t xml:space="preserve">(1) Aufwendungen für ärztlich oder zahnärztlich verordnete Heilmittel und bei der Anwendung der Heilmittel verbrauchte Stoffe sind nach Maßgabe der Anlagen 9 und 10 beihilfefähig.</w:t>
      </w:r>
    </w:p>
    <w:p>
      <w:r>
        <w:t xml:space="preserve">(2) Aufwendungen für Ergotherapie und für Stoffe, die bei der Anwendung der Ergotherapie verbraucht werden, sind nach Maßgabe der Anlagen 9 und 10 auch beihilfefähig, wenn die Ergotherapie durch eine Psychotherapeutin oder einen Psychotherapeuten verordnet wird, die oder der die Voraussetzungen des Fünften Buches Sozialgesetzbuch zur Eintragung in das Arztregister erfüllt.</w:t>
      </w:r>
    </w:p>
    <w:p>
      <w:r>
        <w:t xml:space="preserve">(3) Bei Personen, die nach § 3 beihilfeberechtigt oder bei einer nach § 3 beihilfeberechtigten Person berücksichtigungsfähig sind, beurteilt sich die Angemessenheit der Aufwendungen für verordnete Heilmittel anstelle der in Anlage 9 genannten Höchstbeträge nach den ortsüblichen Gebühren unter Berücksichtigung der besonderen Verhältnisse im Ausland. Die beihilfefähigen Aufwendungen mindern sich um 10 Prozent der Kosten, die die Höchstbeträge nach Anlage 9 übersteigen, höchstens jedoch um 10 Euro. Diese Minderung gilt nicht für Personen, die das 18. Lebensjahr noch nicht vollendet haben.</w:t>
      </w:r>
    </w:p>
    <w:p>
      <w:r>
        <w:rPr>
          <w:color w:val="555555"/>
          <w:sz w:val="17"/>
        </w:rPr>
        <w:t xml:space="preserve">Zitiervorschlag: § 23 BBhV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https://recht.nulegal.eu/gesetze/BBhV/23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