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BBhV — Arznei- und Verbandmittel, Medizinprodukte</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Beihilfefähig sind Aufwendungen für ärztlich oder zahnärztlich nach Art und Umfang verordnete oder während einer Behandlung verbrauchte</w:t>
      </w:r>
    </w:p>
    <w:p>
      <w:pPr>
        <w:ind w:left="420"/>
      </w:pPr>
      <w:r>
        <w:t xml:space="preserve">1. Arzneimittel nach § 2 des Arzneimittelgesetzes, die apothekenpflichtig sind,</w:t>
      </w:r>
    </w:p>
    <w:p>
      <w:pPr>
        <w:ind w:left="420"/>
      </w:pPr>
      <w:r>
        <w:t xml:space="preserve">2. Verbandmittel,</w:t>
      </w:r>
    </w:p>
    <w:p>
      <w:pPr>
        <w:ind w:left="420"/>
      </w:pPr>
      <w:r>
        <w:t xml:space="preserve">3. Harn- und Blutteststreifen sowie</w:t>
      </w:r>
    </w:p>
    <w:p>
      <w:pPr>
        <w:ind w:left="420"/>
      </w:pPr>
      <w:r>
        <w:t xml:space="preserve">4. Stoffe und Zubereitungen aus Stoffen, die als Medizinprodukte im Sinne des Medizinprodukterechts zur Anwendung am oder im menschlichen Körper bestimmt, in Anlage V der Arzneimittel-Richtlinie des Gemeinsamen Bundesausschusses nach § 92 Absatz 1 Satz 2 Nummer 6 des Fünften Buches Sozialgesetzbuch in der jeweils geltenden und nach § 94 Absatz 2 des Fünften Buches Sozialgesetzbuch im Bundesanzeiger bekannt gemachten Fassung aufgeführt sind und die dort genannten Maßgaben erfüllen.</w:t>
      </w:r>
    </w:p>
    <w:p>
      <w:r>
        <w:t xml:space="preserve">(2) Nicht beihilfefähig sind Aufwendungen für</w:t>
      </w:r>
    </w:p>
    <w:p>
      <w:pPr>
        <w:ind w:left="420"/>
      </w:pPr>
      <w:r>
        <w:t xml:space="preserve">1. Arzneimittel, die in Anlage II der Arzneimittel-Richtlinie des Gemeinsamen Bundesausschusses nach § 92 Absatz 1 Satz 2 Nummer 6 des Fünften Buches Sozialgesetzbuch in der jeweils geltenden und nach § 94 Absatz 2 des Fünften Buches Sozialgesetzbuch im Bundesanzeiger bekannt gemachten Fassung genannt sind, es sei denn, dass das jeweilige Arzneimittel im Einzelfall nicht zur Behandlung in dem für dieses Arzneimittel in Anlage II der Arzneimittel-Richtlinie des Gemeinsamen Bundesausschusses genannten Anwendungsbereich, sondern zur Behandlung einer anderen Körperfunktionsstörung, die eine Krankheit ist, eingesetzt wird und</w:t>
      </w:r>
    </w:p>
    <w:p>
      <w:pPr>
        <w:ind w:left="780"/>
      </w:pPr>
      <w:r>
        <w:t xml:space="preserve">a) es keine anderen zur Behandlung dieser Krankheit zugelassenen Arzneimittel gibt oder</w:t>
      </w:r>
    </w:p>
    <w:p>
      <w:pPr>
        <w:ind w:left="780"/>
      </w:pPr>
      <w:r>
        <w:t xml:space="preserve">b) die anderen zur Behandlung dieser Krankheit zugelassenen Arzneimittel im Einzelfall unverträglich sind oder sich als nicht wirksam erwiesen haben,</w:t>
      </w:r>
    </w:p>
    <w:p>
      <w:pPr>
        <w:ind w:left="420"/>
      </w:pPr>
      <w:r>
        <w:t xml:space="preserve">2. verschreibungspflichtige Arzneimittel zur Behandlung von</w:t>
      </w:r>
    </w:p>
    <w:p>
      <w:pPr>
        <w:ind w:left="780"/>
      </w:pPr>
      <w:r>
        <w:t xml:space="preserve">a) Erkältungskrankheiten und grippalen Infekten einschließlich der bei diesen Krankheiten anzuwendenden Schnupfenmittel, Schmerzmittel, hustendämpfenden und hustenlösenden Mittel, sofern es sich um geringfügige Gesundheitsstörungen handelt,</w:t>
      </w:r>
    </w:p>
    <w:p>
      <w:pPr>
        <w:ind w:left="780"/>
      </w:pPr>
      <w:r>
        <w:t xml:space="preserve">b) Mund- und Rachenerkrankungen, ausgenommen bei</w:t>
      </w:r>
    </w:p>
    <w:p>
      <w:pPr>
        <w:ind w:left="1140"/>
      </w:pPr>
      <w:r>
        <w:t xml:space="preserve">aa) Pilzinfektionen,</w:t>
      </w:r>
    </w:p>
    <w:p>
      <w:pPr>
        <w:ind w:left="1140"/>
      </w:pPr>
      <w:r>
        <w:t xml:space="preserve">bb) Geschwüren in der Mundhöhle oder</w:t>
      </w:r>
    </w:p>
    <w:p>
      <w:pPr>
        <w:ind w:left="1140"/>
      </w:pPr>
      <w:r>
        <w:t xml:space="preserve">cc) nach chirurgischen Eingriffen im Hals-, Nasen- und Ohrenbereich,</w:t>
      </w:r>
    </w:p>
    <w:p>
      <w:pPr>
        <w:ind w:left="780"/>
      </w:pPr>
      <w:r>
        <w:t xml:space="preserve">c) Verstopfung, ausgenommen zur Behandlung von Erkrankungen im Zusammenhang mit Tumorleiden, Megacolon, Divertikulose, Divertikulitis, Mukoviszidose, neurogener Darmlähmung, vor diagnostischen Eingriffen, bei phosphatbindender Medikation, bei chronischer Niereninsuffizienz, bei der Opiat- sowie Opioidtherapie und in der Terminalphase oder</w:t>
      </w:r>
    </w:p>
    <w:p>
      <w:pPr>
        <w:ind w:left="780"/>
      </w:pPr>
      <w:r>
        <w:t xml:space="preserve">d) Reisekrankheiten, ausgenommen bei der Anwendung gegen Erbrechen bei Tumortherapie und anderen Erkrankungen, zum Beispiel Menièrescher Symptomkomplex,</w:t>
      </w:r>
    </w:p>
    <w:p>
      <w:pPr>
        <w:ind w:left="420"/>
      </w:pPr>
      <w:r>
        <w:t xml:space="preserve">soweit die Arzneimittel nicht für Minderjährige bestimmt sind,</w:t>
      </w:r>
    </w:p>
    <w:p>
      <w:pPr>
        <w:ind w:left="420"/>
      </w:pPr>
      <w:r>
        <w:t xml:space="preserve">3. nicht verschreibungspflichtige Arzneimittel, es sei denn, sie</w:t>
      </w:r>
    </w:p>
    <w:p>
      <w:pPr>
        <w:ind w:left="780"/>
      </w:pPr>
      <w:r>
        <w:t xml:space="preserve">a) sind bestimmt für Personen, die das zwölfte Lebensjahr noch nicht vollendet haben oder für Personen, die das 18. Lebensjahr noch nicht vollendet haben und an Entwicklungsstörungen leiden,</w:t>
      </w:r>
    </w:p>
    <w:p>
      <w:pPr>
        <w:ind w:left="780"/>
      </w:pPr>
      <w:r>
        <w:t xml:space="preserve">b) wurden für diagnostische Zwecke, Untersuchungen oder ambulante Behandlungen benötigt und</w:t>
      </w:r>
    </w:p>
    <w:p>
      <w:pPr>
        <w:ind w:left="1140"/>
      </w:pPr>
      <w:r>
        <w:t xml:space="preserve">aa) in der Rechnung als Auslagen abgerechnet oder</w:t>
      </w:r>
    </w:p>
    <w:p>
      <w:pPr>
        <w:ind w:left="1140"/>
      </w:pPr>
      <w:r>
        <w:t xml:space="preserve">bb) auf Grund einer ärztlichen Verordnung zuvor von der beihilfeberechtigten oder berücksichtigungsfähigen Person selbst beschafft,</w:t>
      </w:r>
    </w:p>
    <w:p>
      <w:pPr>
        <w:ind w:left="780"/>
      </w:pPr>
      <w:r>
        <w:t xml:space="preserve">c) gelten bei der Behandlung einer schwerwiegenden Erkrankung als Therapiestandard und werden mit dieser Begründung ausnahmsweise verordnet; die beihilfefähigen Ausnahmen ergeben sich aus Anlage I der Arzneimittel-Richtlinie des Gemeinsamen Bundesausschusses nach § 92 Absatz 1 Satz 2 Nummer 6 des Fünften Buches Sozialgesetzbuch in der jeweils geltenden und nach § 94 Absatz 2 des Fünften Buches Sozialgesetzbuch im Bundesanzeiger bekannt gemachten Fassung; Aufwendungen für anthroposophische und homöopathische Arzneimittel zur Behandlung der in Anlage I der Arzneimittel-Richtlinie des Gemeinsamen Bundesausschusses genannten schwerwiegenden Erkrankungen sind beihilfefähig, wenn die Anwendung des jeweiligen Arzneimittels in der jeweiligen Therapierichtung angezeigt ist,</w:t>
      </w:r>
    </w:p>
    <w:p>
      <w:pPr>
        <w:ind w:left="780"/>
      </w:pPr>
      <w:r>
        <w:t xml:space="preserve">d) sind in der Fachinformation zum Hauptarzneimittel eines beihilfefähigen Arzneimittels als Begleitmedikation zwingend vorgeschrieben oder</w:t>
      </w:r>
    </w:p>
    <w:p>
      <w:pPr>
        <w:ind w:left="780"/>
      </w:pPr>
      <w:r>
        <w:t xml:space="preserve">e) werden zur Behandlung unerwünschter Arzneimittelwirkungen, die beim bestimmungsgemäßen Gebrauch eines beihilfefähigen Arzneimittels auftreten können, eingesetzt; dabei muss die unerwünschte Arzneimittelwirkung lebensbedrohlich sein oder die Lebensqualität auf Dauer nachhaltig beeinträchtigen,</w:t>
      </w:r>
    </w:p>
    <w:p>
      <w:pPr>
        <w:ind w:left="420"/>
      </w:pPr>
      <w:r>
        <w:t xml:space="preserve">4. traditionell angewendete Arzneimittel nach § 109 Absatz 3 und § 109a des Arzneimittelgesetzes mit einem oder mehreren der folgenden Hinweise auf der äußeren Umhüllung oder der Packungsbeilage des Arzneimittels:</w:t>
      </w:r>
    </w:p>
    <w:p>
      <w:pPr>
        <w:ind w:left="780"/>
      </w:pPr>
      <w:r>
        <w:t xml:space="preserve">a) zur Stärkung oder Kräftigung,</w:t>
      </w:r>
    </w:p>
    <w:p>
      <w:pPr>
        <w:ind w:left="780"/>
      </w:pPr>
      <w:r>
        <w:t xml:space="preserve">b) zur Besserung des Befindens,</w:t>
      </w:r>
    </w:p>
    <w:p>
      <w:pPr>
        <w:ind w:left="780"/>
      </w:pPr>
      <w:r>
        <w:t xml:space="preserve">c) zur Unterstützung der Organfunktion,</w:t>
      </w:r>
    </w:p>
    <w:p>
      <w:pPr>
        <w:ind w:left="780"/>
      </w:pPr>
      <w:r>
        <w:t xml:space="preserve">d) zur Vorbeugung,</w:t>
      </w:r>
    </w:p>
    <w:p>
      <w:pPr>
        <w:ind w:left="780"/>
      </w:pPr>
      <w:r>
        <w:t xml:space="preserve">e) als mild wirkendes Arzneimittel,</w:t>
      </w:r>
    </w:p>
    <w:p>
      <w:pPr>
        <w:ind w:left="420"/>
      </w:pPr>
      <w:r>
        <w:t xml:space="preserve">5. traditionelle pflanzliche Arzneimittel nach § 39a des Arzneimittelgesetzes,</w:t>
      </w:r>
    </w:p>
    <w:p>
      <w:pPr>
        <w:ind w:left="420"/>
      </w:pPr>
      <w:r>
        <w:t xml:space="preserve">6. hormonelle Mittel zur Empfängnisverhütung,</w:t>
      </w:r>
    </w:p>
    <w:p>
      <w:pPr>
        <w:ind w:left="420"/>
      </w:pPr>
      <w:r>
        <w:t xml:space="preserve">7. gesondert ausgewiesene Versandkosten; dies gilt nicht für Aufwendungen von Botendienstzuschlägen in Höhe von 2,50 Euro zuzüglich Umsatzsteuer je Lieferort und Tag bei der Abgabe von verschreibungspflichtigen Arzneimitteln durch Apotheken.</w:t>
      </w:r>
    </w:p>
    <w:p>
      <w:r>
        <w:t xml:space="preserve">Satz 1 Nummer 6 gilt nicht</w:t>
      </w:r>
    </w:p>
    <w:p>
      <w:pPr>
        <w:ind w:left="420"/>
      </w:pPr>
      <w:r>
        <w:t xml:space="preserve">1. bei Personen unter 22 Jahren,</w:t>
      </w:r>
    </w:p>
    <w:p>
      <w:pPr>
        <w:ind w:left="420"/>
      </w:pPr>
      <w:r>
        <w:t xml:space="preserve">2. wenn diese Mittel unabhängig von der arzneimittelrechtlichen Zulassung zur Behandlung einer Krankheit verordnet werden oder</w:t>
      </w:r>
    </w:p>
    <w:p>
      <w:pPr>
        <w:ind w:left="420"/>
      </w:pPr>
      <w:r>
        <w:t xml:space="preserve">3. für nicht verschreibungspflichtige Notfallkontrazeptiva ohne Altersbeschränkung, soweit sie ärztlich verordnet wurden und Hinweise auf einen sexuellen Missbrauch oder eine Vergewaltigung vorliegen.</w:t>
      </w:r>
    </w:p>
    <w:p>
      <w:r>
        <w:t xml:space="preserve">(3) Aufwendungen für Arzneimittel, für die Festbeträge nach § 35 Absatz 3, 5 und 6 des Fünften Buches Sozialgesetzbuch festgesetzt sind, sind nur bis zur Höhe der Festbeträge beihilfefähig, die das Bundesinstitut für Arzneimittel und Medizinprodukte nach § 35 Absatz 8 des Fünften Buches Sozialgesetzbuch im Internet veröffentlicht. Aufwendungen für Arzneimittel nach Satz 1 sind über den Festbetrag hinaus beihilfefähig, wenn die Arzneimittel</w:t>
      </w:r>
    </w:p>
    <w:p>
      <w:pPr>
        <w:ind w:left="420"/>
      </w:pPr>
      <w:r>
        <w:t xml:space="preserve">1. in medizinisch begründeten Einzelfällen verordnet worden sind oder</w:t>
      </w:r>
    </w:p>
    <w:p>
      <w:pPr>
        <w:ind w:left="420"/>
      </w:pPr>
      <w:r>
        <w:t xml:space="preserve">2. in Richtlinien nach § 129 Absatz 1a Satz 2 des Fünften Buches Sozialgesetzbuch bestimmt sind.</w:t>
      </w:r>
    </w:p>
    <w:p>
      <w:r>
        <w:t xml:space="preserve">(4) Aufwendungen für Arzneimittel, bei denen nach allgemein anerkanntem Stand der medizinischen Erkenntnisse der diagnostische oder therapeutische Nutzen, die medizinische Notwendigkeit oder die Wirtschaftlichkeit nicht nachgewiesen ist, sind nach Maßgabe der Anlage 8 beihilfefähig. Arzneimittel nach Satz 1 können darüber hinaus im Einzelfall als beihilfefähig anerkannt werden, wenn eine medizinische Stellungnahme darüber vorgelegt wird, dass das Arzneimittel zur Behandlung notwendig ist.</w:t>
      </w:r>
    </w:p>
    <w:p>
      <w:r>
        <w:t xml:space="preserve">(5) Aufwendungen für ärztlich verordnete Aminosäuremischungen, Eiweißhydrolysate, Elementardiäten und Sondennahrung sind zur enteralen Ernährung bei fehlender oder eingeschränkter Fähigkeit, sich auf natürliche Weise ausreichend zu ernähren, beihilfefähig, wenn eine Modifizierung der natürlichen Ernährung oder sonstige ärztliche, pflegerische oder ernährungstherapeutische Maßnahmen zur Verbesserung der Ernährungssituation nicht ausreichen. Aufwendungen für Elementardiäten sind beihilfefähig für Personen, die das dritte Lebensjahr noch nicht vollendet haben, mit Kuhmilcheiweiß-Allergie; dies gilt ferner bei Neurodermitis für einen Zeitraum von einem halben Jahr, sofern Elementardiäten für diagnostische Zwecke eingesetzt werden. Im Übrigen sind Aufwendungen für Lebensmittel, Nahrungsergänzungsmittel, Krankenkost und diätetische Lebensmittel nicht beihilfefähig.</w:t>
      </w:r>
    </w:p>
    <w:p>
      <w:r>
        <w:t xml:space="preserve">(6) Die Absätze 1 bis 4 gelten entsprechend für Aufwendungen für Arznei- und Verbandmittel, Teststreifen und Medizinprodukte, die eine Heilpraktikerin oder ein Heilpraktiker während einer Behandlung verbraucht hat.</w:t>
      </w:r>
    </w:p>
    <w:p>
      <w:r>
        <w:rPr>
          <w:color w:val="555555"/>
          <w:sz w:val="17"/>
        </w:rPr>
        <w:t xml:space="preserve">Zitiervorschlag: § 22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