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BBhV — Systemische Therapie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Aufwendungen für eine Systemische Therapie sind je Krankheitsfall in folgendem Umfang, auch im Mehrpersonensetting, beihilfefähig:</w:t>
      </w:r>
    </w:p>
    <w:p>
      <w:r>
        <w:rPr>
          <w:rFonts w:ascii="Courier New" w:hAnsi="Courier New"/>
          <w:sz w:val="17"/>
        </w:rPr>
        <w:t xml:space="preserve">    Einzelbehandlung    Gruppenbehandlung</w:t>
      </w:r>
    </w:p>
    <w:p>
      <w:r>
        <w:rPr>
          <w:rFonts w:ascii="Courier New" w:hAnsi="Courier New"/>
          <w:sz w:val="17"/>
        </w:rPr>
        <w:t xml:space="preserve">im Regelfall    36 Sitzungen    36 Sitzungen</w:t>
      </w:r>
    </w:p>
    <w:p>
      <w:r>
        <w:rPr>
          <w:rFonts w:ascii="Courier New" w:hAnsi="Courier New"/>
          <w:sz w:val="17"/>
        </w:rPr>
        <w:t xml:space="preserve">in Ausnahmefällen    weitere 12 Sitzungen    weitere 12 Sitzungen</w:t>
      </w:r>
    </w:p>
    <w:p>
      <w:r>
        <w:t xml:space="preserve">(2) § 19 Absatz 1 Satz 2 bis 4 und Absatz 3 gilt entsprechend.</w:t>
      </w:r>
    </w:p>
    <w:p>
      <w:r>
        <w:rPr>
          <w:color w:val="555555"/>
          <w:sz w:val="17"/>
        </w:rPr>
        <w:t xml:space="preserve">Zitiervorschlag: § 20a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