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BBhV — Verhaltenstherapie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Aufwendungen für eine Verhaltenstherapie sind je Krankheitsfall in folgendem Umfang beihilfefähig:</w:t>
      </w:r>
    </w:p>
    <w:p>
      <w:r>
        <w:rPr>
          <w:rFonts w:ascii="Courier New" w:hAnsi="Courier New"/>
          <w:sz w:val="17"/>
        </w:rPr>
        <w:t xml:space="preserve">    Einzel- behandlung    Gruppen- behandlung</w:t>
      </w:r>
    </w:p>
    <w:p>
      <w:r>
        <w:rPr>
          <w:rFonts w:ascii="Courier New" w:hAnsi="Courier New"/>
          <w:sz w:val="17"/>
        </w:rPr>
        <w:t xml:space="preserve">im Regelfall    60 Sitzungen    60 Sitzungen</w:t>
      </w:r>
    </w:p>
    <w:p>
      <w:r>
        <w:rPr>
          <w:rFonts w:ascii="Courier New" w:hAnsi="Courier New"/>
          <w:sz w:val="17"/>
        </w:rPr>
        <w:t xml:space="preserve">in Ausnahmefällen    weitere 20 Sitzungen    weitere 20 Sitzungen</w:t>
      </w:r>
    </w:p>
    <w:p>
      <w:r>
        <w:t xml:space="preserve">(2) § 19 Absatz 1 Satz 2 bis 4 und Absatz 2 bis 4 gilt entsprechend.</w:t>
      </w:r>
    </w:p>
    <w:p>
      <w:r>
        <w:t xml:space="preserve">(3) Aufwendungen für eine Rational-Emotive Therapie sind nur im Rahmen eines umfassenden verhaltenstherapeutischen Behandlungskonzepts beihilfefähig.</w:t>
      </w:r>
    </w:p>
    <w:p>
      <w:r>
        <w:rPr>
          <w:color w:val="555555"/>
          <w:sz w:val="17"/>
        </w:rPr>
        <w:t xml:space="preserve">Zitiervorschlag: § 20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