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BBhV — Beihilfeberechtigte Personen</w:t>
      </w:r>
    </w:p>
    <w:p>
      <w:r>
        <w:rPr>
          <w:color w:val="555555"/>
          <w:sz w:val="18"/>
        </w:rPr>
        <w:t xml:space="preserve">Bundesbeihilfeverordnung</w:t>
      </w:r>
    </w:p>
    <w:p>
      <w:r>
        <w:rPr>
          <w:color w:val="555555"/>
          <w:sz w:val="18"/>
        </w:rPr>
        <w:t xml:space="preserve">Stand: 01.01.2021 (konsolidierte Textfassung, kein amtliches Inkrafttretensdatum)</w:t>
      </w:r>
    </w:p>
    <w:p>
      <w:r>
        <w:t xml:space="preserve">(1) Soweit nicht die Absätze 2 bis 5 etwas Anderes bestimmen, ist beihilfeberechtigt, wer im Zeitpunkt der Leistungserbringung</w:t>
      </w:r>
    </w:p>
    <w:p>
      <w:pPr>
        <w:ind w:left="420"/>
      </w:pPr>
      <w:r>
        <w:t xml:space="preserve">1. Beamtin oder Beamter,</w:t>
      </w:r>
    </w:p>
    <w:p>
      <w:pPr>
        <w:ind w:left="420"/>
      </w:pPr>
      <w:r>
        <w:t xml:space="preserve">2. Versorgungsempfängerin oder Versorgungsempfänger oder</w:t>
      </w:r>
    </w:p>
    <w:p>
      <w:pPr>
        <w:ind w:left="420"/>
      </w:pPr>
      <w:r>
        <w:t xml:space="preserve">3. frühere Beamtin oder früherer Beamter</w:t>
      </w:r>
    </w:p>
    <w:p>
      <w:r>
        <w:t xml:space="preserve">ist.</w:t>
      </w:r>
    </w:p>
    <w:p>
      <w:r>
        <w:t xml:space="preserve">(2) Die Beihilfeberechtigung setzt ferner voraus, dass der beihilfeberechtigten Person Dienstbezüge, Amtsbezüge, Anwärterbezüge, Ruhegehalt, Witwengeld, Witwergeld, Waisengeld, Unterhaltsbeiträge nach Abschnitt II oder Abschnitt V, nach § 22 Absatz 1 oder nach § 26 Absatz 1 des Beamtenversorgungsgesetzes oder Übergangsgeld nach Abschnitt VI des Beamtenversorgungsgesetzes zustehen. Die Beihilfeberechtigung besteht auch, wenn Bezüge wegen Elternzeit oder der Anwendung von Ruhens-, Anrechnungs- oder Kürzungsvorschriften nicht gezahlt werden. Ruhens- und Anrechnungsvorschriften im Sinne von Satz 2 sind insbesondere § 22 Absatz 1 Satz 2, die §§ 53 bis 56, § 61 Absatz 2 Satz 2 und Absatz 3 des Beamtenversorgungsgesetzes, § 9a des Bundesbesoldungsgesetzes sowie § 10 Absatz 4 und 6 des Postpersonalrechtsgesetzes. Der Anspruch auf Beihilfe bleibt bei Urlaub unter Wegfall der Besoldung nach der Sonderurlaubsverordnung unberührt, wenn dieser nicht länger als einen Monat dauert.</w:t>
      </w:r>
    </w:p>
    <w:p>
      <w:r>
        <w:t xml:space="preserve">(3) Nicht beihilfeberechtigt sind</w:t>
      </w:r>
    </w:p>
    <w:p>
      <w:pPr>
        <w:ind w:left="420"/>
      </w:pPr>
      <w:r>
        <w:t xml:space="preserve">1. Ehrenbeamtinnen und Ehrenbeamte,</w:t>
      </w:r>
    </w:p>
    <w:p>
      <w:pPr>
        <w:ind w:left="420"/>
      </w:pPr>
      <w:r>
        <w:t xml:space="preserve">2. Beamtinnen und Beamte, deren Dienstverhältnis auf weniger als ein Jahr befristet ist, es sei denn, dass sie insgesamt mindestens ein Jahr ununterbrochen im öffentlichen Dienst im Sinne des § 40 Abs. 6 des Bundesbesoldungsgesetzes beschäftigt sind, und</w:t>
      </w:r>
    </w:p>
    <w:p>
      <w:pPr>
        <w:ind w:left="420"/>
      </w:pPr>
      <w:r>
        <w:t xml:space="preserve">3. Beamtinnen und Beamte sowie Versorgungsempfängerinnen und Versorgungsempfänger, denen Leistungen nach § 11 des Europaabgeordnetengesetzes, § 27 des Abgeordnetengesetzes oder entsprechenden vorrangigen landesrechtlichen Vorschriften zustehen.</w:t>
      </w:r>
    </w:p>
    <w:p>
      <w:r>
        <w:t xml:space="preserve">(4) Nicht beihilfeberechtigt nach dieser Verordnung sind diejenigen Beamtinnen und Beamten des Bundeseisenbahnvermögens, die zum Zeitpunkt der Zusammenführung der Deutschen Bundesbahn und der Deutschen Reichsbahn Beamtinnen oder Beamte der Deutschen Bundesbahn waren.</w:t>
      </w:r>
    </w:p>
    <w:p>
      <w:r>
        <w:t xml:space="preserve">(5) Nicht beihilfeberechtigt nach dieser Verordnung sind diejenigen Beamtinnen und Beamten, die A-Mitglieder der Postbeamtenkrankenkasse sind, soweit die Satzung für beihilfefähige Aufwendungen dieser Mitglieder Sachleistungen vorsieht und diese nicht durch einen Höchstbetrag begrenzt sind.</w:t>
      </w:r>
    </w:p>
    <w:p>
      <w:r>
        <w:rPr>
          <w:color w:val="555555"/>
          <w:sz w:val="17"/>
        </w:rPr>
        <w:t xml:space="preserve">Zitiervorschlag: § 2 BBhV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https://recht.nulegal.eu/gesetze/BBhV/2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