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BBhV — Gemeinsame Vorschriften für psychoanalytisch begründete Verfahren, Verhaltenstherapie und Systemische Therapie</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Leistungen der Psychotherapie sind beihilfefähig bei</w:t>
      </w:r>
    </w:p>
    <w:p>
      <w:pPr>
        <w:ind w:left="420"/>
      </w:pPr>
      <w:r>
        <w:t xml:space="preserve">1. affektiven Störungen: depressive Episoden, rezidivierende depressive Störungen und Dysthymie,</w:t>
      </w:r>
    </w:p>
    <w:p>
      <w:pPr>
        <w:ind w:left="420"/>
      </w:pPr>
      <w:r>
        <w:t xml:space="preserve">2. Angststörungen und Zwangsstörungen,</w:t>
      </w:r>
    </w:p>
    <w:p>
      <w:pPr>
        <w:ind w:left="420"/>
      </w:pPr>
      <w:r>
        <w:t xml:space="preserve">3. somatoformen Störungen und dissoziativen Störungen,</w:t>
      </w:r>
    </w:p>
    <w:p>
      <w:pPr>
        <w:ind w:left="420"/>
      </w:pPr>
      <w:r>
        <w:t xml:space="preserve">4. Anpassungsstörungen und Reaktionen auf schwere Belastungen,</w:t>
      </w:r>
    </w:p>
    <w:p>
      <w:pPr>
        <w:ind w:left="420"/>
      </w:pPr>
      <w:r>
        <w:t xml:space="preserve">5. Essstörungen,</w:t>
      </w:r>
    </w:p>
    <w:p>
      <w:pPr>
        <w:ind w:left="420"/>
      </w:pPr>
      <w:r>
        <w:t xml:space="preserve">6. nichtorganischen Schlafstörungen,</w:t>
      </w:r>
    </w:p>
    <w:p>
      <w:pPr>
        <w:ind w:left="420"/>
      </w:pPr>
      <w:r>
        <w:t xml:space="preserve">7. sexuellen Funktionsstörungen,</w:t>
      </w:r>
    </w:p>
    <w:p>
      <w:pPr>
        <w:ind w:left="420"/>
      </w:pPr>
      <w:r>
        <w:t xml:space="preserve">8. Persönlichkeits- und Verhaltensstörungen.</w:t>
      </w:r>
    </w:p>
    <w:p>
      <w:r>
        <w:t xml:space="preserve">(2) Neben oder nach einer somatischen ärztlichen Behandlung von Krankheiten oder deren Auswirkungen sind Aufwendungen für Leistungen der Psychotherapie beihilfefähig bei</w:t>
      </w:r>
    </w:p>
    <w:p>
      <w:pPr>
        <w:ind w:left="420"/>
      </w:pPr>
      <w:r>
        <w:t xml:space="preserve">1. psychischen Störungen und Verhaltensstörungen</w:t>
      </w:r>
    </w:p>
    <w:p>
      <w:pPr>
        <w:ind w:left="780"/>
      </w:pPr>
      <w:r>
        <w:t xml:space="preserve">a) durch psychotrope Substanzen; im Fall einer Abhängigkeit nur, wenn Suchtmittelfreiheit oder Abstinenz erreicht ist oder voraussichtlich innerhalb von zehn Sitzungen erreicht werden kann,</w:t>
      </w:r>
    </w:p>
    <w:p>
      <w:pPr>
        <w:ind w:left="780"/>
      </w:pPr>
      <w:r>
        <w:t xml:space="preserve">b) durch Opioide und gleichzeitiger stabiler substitutionsgestützter Behandlung im Zustand der Beigebrauchsfreiheit,</w:t>
      </w:r>
    </w:p>
    <w:p>
      <w:pPr>
        <w:ind w:left="420"/>
      </w:pPr>
      <w:r>
        <w:t xml:space="preserve">2. seelischen Krankheiten auf Grund frühkindlicher emotionaler Mangelzustände oder tiefgreifender Entwicklungsstörungen, in Ausnahmefällen auch bei seelischen Krankheiten, die im Zusammenhang mit frühkindlichen körperlichen Schädigungen oder Missbildungen stehen,</w:t>
      </w:r>
    </w:p>
    <w:p>
      <w:pPr>
        <w:ind w:left="420"/>
      </w:pPr>
      <w:r>
        <w:t xml:space="preserve">3. seelischen Krankheiten als Folge schwerer chronischer Krankheitsverläufe,</w:t>
      </w:r>
    </w:p>
    <w:p>
      <w:pPr>
        <w:ind w:left="420"/>
      </w:pPr>
      <w:r>
        <w:t xml:space="preserve">4. schizophrenen und affektiven psychotischen Störungen.</w:t>
      </w:r>
    </w:p>
    <w:p>
      <w:r>
        <w:t xml:space="preserve">Die Beihilfefähigkeit setzt voraus, dass die Leistungen von einer Ärztin, einem Arzt, einer Psychotherapeutin oder einem Psychotherapeuten nach den Abschnitten 2 bis 4 der Anlage 3 erbracht werden. Eine Sitzung der Psychotherapie umfasst eine Behandlungsdauer von mindestens 50 Minuten bei einer Einzelbehandlung und von in der Regel mindestens 100 Minuten bei einer Gruppenbehandlung. Eine Gruppenbehandlung kann auch mit einer Behandlungsdauer von 50 Minuten unter entsprechender Erhöhung der Gesamtzahl der Sitzungen durchgeführt werden.</w:t>
      </w:r>
    </w:p>
    <w:p>
      <w:r>
        <w:t xml:space="preserve">(3) Aufwendungen für Leistungen der Psychotherapie, die zu den wissenschaftlich anerkannten Verfahren gehören und nach den Abschnitten B und G der Anlage zur Gebührenordnung für Ärzte abgerechnet werden, sind beihilfefähig, wenn</w:t>
      </w:r>
    </w:p>
    <w:p>
      <w:pPr>
        <w:ind w:left="420"/>
      </w:pPr>
      <w:r>
        <w:t xml:space="preserve">1. sie der Feststellung, Heilung oder Linderung von Störungen nach Absatz 1 dienen, bei denen eine Psychotherapie indiziert ist,</w:t>
      </w:r>
    </w:p>
    <w:p>
      <w:pPr>
        <w:ind w:left="420"/>
      </w:pPr>
      <w:r>
        <w:t xml:space="preserve">2. nach einer biographischen Analyse oder einer Verhaltensanalyse und nach den probatorischen Sitzungen ein Behandlungserfolg zu erwarten ist und</w:t>
      </w:r>
    </w:p>
    <w:p>
      <w:pPr>
        <w:ind w:left="420"/>
      </w:pPr>
      <w:r>
        <w:t xml:space="preserve">3. die Festsetzungsstelle vor Beginn der Behandlung die Beihilfefähigkeit der Aufwendungen auf Grund eines Gutachtens zu Notwendigkeit, Art und Umfang der Behandlung anerkannt hat, es sei denn, dass es sich um eine Kurzzeittherapie handelt.</w:t>
      </w:r>
    </w:p>
    <w:p>
      <w:r>
        <w:t xml:space="preserve">Aufwendungen für Maßnahmen nach Satz 1 Nummer 2 sind auch dann beihilfefähig, wenn sich eine psychotherapeutische Behandlung später als nicht notwendig erwiesen hat.</w:t>
      </w:r>
    </w:p>
    <w:p>
      <w:r>
        <w:t xml:space="preserve">(4) Das Gutachten nach Absatz 3 Satz 1 Nummer 3 ist bei einer Gutachterin oder einem Gutachter einzuholen, die oder der von der Kassenärztlichen Bundesvereinigung im Einvernehmen mit den Bundesverbänden der Vertragskassen nach § 12 der Psychotherapie-Vereinbarung in der jeweils geltenden auf der Internetseite der Kassenärztlichen Bundesvereinigung (www.kbv.de) veröffentlichten Fassung bestellt worden ist. Für Personen, die nach § 3 beihilfeberechtigt oder bei einer nach § 3 beihilfeberechtigten Person berücksichtigungsfähig sind, kann das Gutachten beim Gesundheitsdienst des Auswärtigen Amtes oder bei einer oder einem vom Gesundheitsdienst des Auswärtigen Amtes beauftragten Ärztin oder Arzt eingeholt werden.</w:t>
      </w:r>
    </w:p>
    <w:p>
      <w:r>
        <w:t xml:space="preserve">(5) Festsetzungsstellen können auf die Einholung eines Gutachtens im Rahmen des Voranerkennungsverfahrens nach Absatz 3 Satz 1 Nummer 3 verzichten, wenn sichergestellt ist, dass sie selbst in der Lage sind, Notwendigkeit, Art und Umfang der Behandlung festzustellen.</w:t>
      </w:r>
    </w:p>
    <w:p>
      <w:r>
        <w:t xml:space="preserve">(6) Aufwendungen für Kurzzeittherapien sind ohne Genehmigung durch die Festsetzungsstelle bis zu 24 Sitzungen als Einzel- oder Gruppenbehandlung beihilfefähig. Für Personen, die das 21. Lebensjahr noch nicht vollendet haben, und für Menschen mit einer geistigen Behinderung sind Aufwendungen für bis zu 30 Behandlungen einer genehmigungsfreien Kurzzeittherapie unter Einbeziehung von Bezugspersonen beihilfefähig. Erbrachte Sitzungen im Rahmen der psychotherapeutischen Akutbehandlung werden mit der Anzahl der Sitzungen der Kurzzeittherapie verrechnet. Die bereits in Anspruch genommenen Sitzungen der Kurzzeittherapie sind auf eine genehmigungspflichtige Therapie nach den §§ 19 bis 20a anzurechnen.</w:t>
      </w:r>
    </w:p>
    <w:p>
      <w:r>
        <w:t xml:space="preserve">(7) Aufwendungen für eine Eye-Movement-Desensitization-and-Reprocessing-Behandlung sind nur bei Personen, die das 18. Lebensjahr vollendet haben, mit posttraumatischen Belastungsstörungen im Rahmen eines umfassenden Behandlungskonzepts der Verhaltenstherapie, der tiefenpsychologisch fundierten Psychotherapie, der analytischen Psychotherapie oder der Systemischen Therapie beihilfefähig.</w:t>
      </w:r>
    </w:p>
    <w:p>
      <w:r>
        <w:rPr>
          <w:color w:val="555555"/>
          <w:sz w:val="17"/>
        </w:rPr>
        <w:t xml:space="preserve">Zitiervorschlag: § 18a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