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BBhV — Zahnärztliche Leistungen für Beamtinnen und Beamte auf Widerruf</w:t>
      </w:r>
    </w:p>
    <w:p>
      <w:r>
        <w:rPr>
          <w:color w:val="555555"/>
          <w:sz w:val="18"/>
        </w:rPr>
        <w:t xml:space="preserve">Bundesbeihilfeverordnung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Aufwendungen für zahnärztliche Leistungen für Beamtinnen und Beamte auf Widerruf und Personen, die bei ihnen berücksichtigungsfähig sind, sind beihilfefähig, soweit sie nicht in Absatz 2 ausgenommen sind.</w:t>
      </w:r>
    </w:p>
    <w:p>
      <w:r>
        <w:t xml:space="preserve">(2) Von der Beihilfefähigkeit nach Absatz 1 ausgenommen sind Aufwendungen für</w:t>
      </w:r>
    </w:p>
    <w:p>
      <w:pPr>
        <w:ind w:left="420"/>
      </w:pPr>
      <w:r>
        <w:t xml:space="preserve">1. prothetische Leistungen,</w:t>
      </w:r>
    </w:p>
    <w:p>
      <w:pPr>
        <w:ind w:left="420"/>
      </w:pPr>
      <w:r>
        <w:t xml:space="preserve">2. Inlays und Zahnkronen,</w:t>
      </w:r>
    </w:p>
    <w:p>
      <w:pPr>
        <w:ind w:left="420"/>
      </w:pPr>
      <w:r>
        <w:t xml:space="preserve">3. funktionsanalytische und funktionstherapeutische Leistungen sowie</w:t>
      </w:r>
    </w:p>
    <w:p>
      <w:pPr>
        <w:ind w:left="420"/>
      </w:pPr>
      <w:r>
        <w:t xml:space="preserve">4. implantologische Leistungen.</w:t>
      </w:r>
    </w:p>
    <w:p>
      <w:r>
        <w:t xml:space="preserve">Aufwendungen nach Satz 1 sind ausnahmsweise beihilfefähig, wenn sie auf einem Unfall während des Vorbereitungsdienstes beruhen oder wenn die beihilfeberechtigte Person zuvor mindestens drei Jahre ununterbrochen im öffentlichen Dienst beschäftigt gewesen ist.</w:t>
      </w:r>
    </w:p>
    <w:p>
      <w:r>
        <w:rPr>
          <w:color w:val="555555"/>
          <w:sz w:val="17"/>
        </w:rPr>
        <w:t xml:space="preserve">Zitiervorschlag: § 17 BBhV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https://recht.nulegal.eu/gesetze/BBhV/17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