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BBhV — Auslagen, Material- und Laborkosten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Gesondert berechenbare Aufwendungen für Auslagen, Material- und Laborkosten nach § 4 Absatz 3 und § 9 der Gebührenordnung für Zahnärzte, die bei einer zahnärztlichen Behandlung nach den §§ 14 bis 15b entstanden sind, sind zu 80 Prozent beihilfefähig. Dies gilt nicht bei Indikationen nach § 15 Absatz 1 Nummer 1 bis 4 und für Personen, die das 18. Lebensjahr noch nicht vollendet haben oder deren kieferorthopädische Behandlung vor Vollendung des 18. Lebensjahres begonnen wurde.</w:t>
      </w:r>
    </w:p>
    <w:p>
      <w:r>
        <w:t xml:space="preserve">(2) Wenn der auf die in Absatz 1 genannten Aufwendungen entfallende Anteil nicht nachgewiesen ist, sind 40 Prozent des Gesamtrechnungsbetrages anzusetzen.</w:t>
      </w:r>
    </w:p>
    <w:p>
      <w:r>
        <w:rPr>
          <w:color w:val="555555"/>
          <w:sz w:val="17"/>
        </w:rPr>
        <w:t xml:space="preserve">Zitiervorschlag: § 16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