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15a BBhV — Kieferorthopädische Leistungen</w:t>
      </w:r>
    </w:p>
    <w:p>
      <w:r>
        <w:rPr>
          <w:color w:val="555555"/>
          <w:sz w:val="18"/>
        </w:rPr>
        <w:t xml:space="preserve">Bundesbeihilfeverordnung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Aufwendungen für kieferorthopädische Leistungen sind beihilfefähig, wenn</w:t>
      </w:r>
    </w:p>
    <w:p>
      <w:pPr>
        <w:ind w:left="420"/>
      </w:pPr>
      <w:r>
        <w:t xml:space="preserve">1. bei Behandlungsbeginn die zu behandelnde Person das 18. Lebensjahr noch nicht vollendet hat oder</w:t>
      </w:r>
    </w:p>
    <w:p>
      <w:pPr>
        <w:ind w:left="420"/>
      </w:pPr>
      <w:r>
        <w:t xml:space="preserve">2. bei schweren Kieferanomalien, insbesondere bei angeborenen Missbildungen des Gesichts oder eines Kiefers, skelettalen Dysgnathien oder verletzungsbedingten Kieferfehlstellungen, eine kombinierte kieferchirurgische und kieferorthopädische Behandlung erfolgt.</w:t>
      </w:r>
    </w:p>
    <w:p>
      <w:r>
        <w:t xml:space="preserve">(2) Aufwendungen für eine kieferorthopädische Behandlung Erwachsener sind beihilfefähig, wenn die Festsetzungsstelle vor Beginn der Behandlung auf der Grundlage eines vorgelegten Heil- und Kostenplanes zugestimmt hat. Die Festsetzungsstelle hat hierzu ein Gutachten einzuholen, das bestätigt, dass</w:t>
      </w:r>
    </w:p>
    <w:p>
      <w:pPr>
        <w:ind w:left="420"/>
      </w:pPr>
      <w:r>
        <w:t xml:space="preserve">1. die Behandlung ausschließlich medizinisch indiziert ist und ästhetische Gründe ausgeschlossen werden können,</w:t>
      </w:r>
    </w:p>
    <w:p>
      <w:pPr>
        <w:ind w:left="420"/>
      </w:pPr>
      <w:r>
        <w:t xml:space="preserve">2. keine Behandlungsalternative vorhanden ist,</w:t>
      </w:r>
    </w:p>
    <w:p>
      <w:pPr>
        <w:ind w:left="420"/>
      </w:pPr>
      <w:r>
        <w:t xml:space="preserve">3. erhebliche Folgeprobleme bestehen, insbesondere bei einer craniomandibulären Dysfunktion.</w:t>
      </w:r>
    </w:p>
    <w:p>
      <w:r>
        <w:t xml:space="preserve">(3) Aufwendungen für Leistungen zur Retention sind bis zu zwei Jahre nach Abschluss der kieferorthopädischen Behandlung beihilfefähig.</w:t>
      </w:r>
    </w:p>
    <w:p>
      <w:r>
        <w:t xml:space="preserve">(4) Aufwendungen für die Erstellung des Heil- und Kostenplanes sind beihilfefähig.</w:t>
      </w:r>
    </w:p>
    <w:p>
      <w:r>
        <w:t xml:space="preserve">(5) Aufwendungen für kieferorthopädische Leistungen vor Beginn der zweiten Phase des Zahnwechsels sind nur beihilfefähig bei</w:t>
      </w:r>
    </w:p>
    <w:p>
      <w:pPr>
        <w:ind w:left="420"/>
      </w:pPr>
      <w:r>
        <w:t xml:space="preserve">1. Beseitigung von Habits bei einem habituellen Distalbiss bei distal sagittaler Stufe mit einer Frontzahnstufe von mehr als 9 Millimetern,</w:t>
      </w:r>
    </w:p>
    <w:p>
      <w:pPr>
        <w:ind w:left="420"/>
      </w:pPr>
      <w:r>
        <w:t xml:space="preserve">2. Beseitigung von Habits bei einem habituellen offenen oder seitlichen Biss bei vertikaler Stufe von mehr als 4 Millimetern,</w:t>
      </w:r>
    </w:p>
    <w:p>
      <w:pPr>
        <w:ind w:left="420"/>
      </w:pPr>
      <w:r>
        <w:t xml:space="preserve">3. Offenhalten von Lücken infolge vorzeitigen Milchzahnverlustes,</w:t>
      </w:r>
    </w:p>
    <w:p>
      <w:pPr>
        <w:ind w:left="420"/>
      </w:pPr>
      <w:r>
        <w:t xml:space="preserve">4. Frühbehandlung</w:t>
      </w:r>
    </w:p>
    <w:p>
      <w:pPr>
        <w:ind w:left="780"/>
      </w:pPr>
      <w:r>
        <w:t xml:space="preserve">a) eines Distalbisses bei distal sagittaler Stufe mit einer Frontzahnstufe von mehr als 9 Millimetern,</w:t>
      </w:r>
    </w:p>
    <w:p>
      <w:pPr>
        <w:ind w:left="780"/>
      </w:pPr>
      <w:r>
        <w:t xml:space="preserve">b) eines lateralen Kreuz- oder Zwangsbisses bei transversaler Abweichung mit einseitigem oder beidseitigem Kreuzbiss, der durch präventive Maßnahmen nicht zu korrigieren ist,</w:t>
      </w:r>
    </w:p>
    <w:p>
      <w:pPr>
        <w:ind w:left="780"/>
      </w:pPr>
      <w:r>
        <w:t xml:space="preserve">c) einer Bukkalokklusion, Nonokklusion oder Lingualokklusion permanenter Zähne bei transversaler Abweichung,</w:t>
      </w:r>
    </w:p>
    <w:p>
      <w:pPr>
        <w:ind w:left="780"/>
      </w:pPr>
      <w:r>
        <w:t xml:space="preserve">d) eines progenen Zwangsbisses oder frontalen Kreuzbisses bei mesial sagittaler Stufe,</w:t>
      </w:r>
    </w:p>
    <w:p>
      <w:pPr>
        <w:ind w:left="780"/>
      </w:pPr>
      <w:r>
        <w:t xml:space="preserve">e) bei Platzmangel zum Schaffen von Zahnlücken von mehr als 3 und höchstens 4 Millimetern oder zum Vergrößern von Zahnlücken um mehr als 3 und höchstens 4 Millimetern,</w:t>
      </w:r>
    </w:p>
    <w:p>
      <w:pPr>
        <w:ind w:left="420"/>
      </w:pPr>
      <w:r>
        <w:t xml:space="preserve">5. früher Behandlung</w:t>
      </w:r>
    </w:p>
    <w:p>
      <w:pPr>
        <w:ind w:left="780"/>
      </w:pPr>
      <w:r>
        <w:t xml:space="preserve">a) einer Lippen-Kiefer-Gaumen-Spalte oder anderer kraniofazialer Anomalien,</w:t>
      </w:r>
    </w:p>
    <w:p>
      <w:pPr>
        <w:ind w:left="780"/>
      </w:pPr>
      <w:r>
        <w:t xml:space="preserve">b) eines skelettal offenen Bisses bei vertikaler Stufe von mehr als 4 Millimetern,</w:t>
      </w:r>
    </w:p>
    <w:p>
      <w:pPr>
        <w:ind w:left="780"/>
      </w:pPr>
      <w:r>
        <w:t xml:space="preserve">c) einer Progenie bei mesial sagittaler Stufe,</w:t>
      </w:r>
    </w:p>
    <w:p>
      <w:pPr>
        <w:ind w:left="780"/>
      </w:pPr>
      <w:r>
        <w:t xml:space="preserve">d) verletzungsbedingter Kieferfehlstellungen.</w:t>
      </w:r>
    </w:p>
    <w:p>
      <w:r>
        <w:t xml:space="preserve">Die Frühbehandlung nach Satz 1 Nummer 4 soll nicht vor Vollendung des dritten Lebensjahres begonnen und innerhalb von sechs Kalenderquartalen abgeschlossen werden; eine reguläre kieferorthopädische Behandlung kann sich anschließen, wenn die zweite Phase des Zahnwechsels vorliegt. Aufwendungen für den Einsatz individuell gefertigter Behandlungsgeräte sind neben den Aufwendungen für eine Behandlung nach Satz 1 Nummer 4 oder Nummer 5 gesondert beihilfefähig.</w:t>
      </w:r>
    </w:p>
    <w:p>
      <w:r>
        <w:rPr>
          <w:color w:val="555555"/>
          <w:sz w:val="17"/>
        </w:rPr>
        <w:t xml:space="preserve">Zitiervorschlag: § 15a BBhV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https://recht.nulegal.eu/gesetze/BBhV/15a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