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BBhV — Leistungen von Heilpraktikerinnen und Heilpraktikern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Aufwendungen für Leistungen von Heilpraktikerinnen und Heilpraktikern sind nach Maßgabe des § 6 Absatz 5 Satz 4 und nach § 22 Absatz 6 beihilfefähig.</w:t>
      </w:r>
    </w:p>
    <w:p>
      <w:r>
        <w:rPr>
          <w:color w:val="555555"/>
          <w:sz w:val="17"/>
        </w:rPr>
        <w:t xml:space="preserve">Zitiervorschlag: § 13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