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BBhV — Aufwendungen im Ausland</w:t>
      </w:r>
    </w:p>
    <w:p>
      <w:r>
        <w:rPr>
          <w:color w:val="555555"/>
          <w:sz w:val="18"/>
        </w:rPr>
        <w:t xml:space="preserve">Bundesbeihilfeverordnung</w:t>
      </w:r>
    </w:p>
    <w:p>
      <w:r>
        <w:rPr>
          <w:color w:val="555555"/>
          <w:sz w:val="18"/>
        </w:rPr>
        <w:t xml:space="preserve">Stand: 01.04.2024 (konsolidierte Textfassung, kein amtliches Inkrafttretensdatum)</w:t>
      </w:r>
    </w:p>
    <w:p>
      <w:r>
        <w:t xml:space="preserve">(1) Aufwendungen für Leistungen in einem Mitgliedstaat der Europäischen Union sind wie im Inland entstandene Aufwendungen zu behandeln. § 6 Absatz 5 Satz 1 bis 3 ist in diesen Fällen nicht anzuwenden. Aufwendungen für Leistungen außerhalb der Europäischen Union sind beihilfefähig bis zu der Höhe, in der sie im Inland entstanden und beihilfefähig wären.</w:t>
      </w:r>
    </w:p>
    <w:p>
      <w:r>
        <w:t xml:space="preserve">(2) Außerhalb der Europäischen Union entstandene Aufwendungen nach Absatz 1 sind ohne Beschränkung auf die Kosten, die im Inland entstanden wären, beihilfefähig, wenn</w:t>
      </w:r>
    </w:p>
    <w:p>
      <w:pPr>
        <w:ind w:left="420"/>
      </w:pPr>
      <w:r>
        <w:t xml:space="preserve">1. sie bei einer Dienstreise entstanden sind und die Behandlung nicht bis zur Rückkehr in das Inland hätte aufgeschoben werden können,</w:t>
      </w:r>
    </w:p>
    <w:p>
      <w:pPr>
        <w:ind w:left="420"/>
      </w:pPr>
      <w:r>
        <w:t xml:space="preserve">2. sie für ärztliche und zahnärztliche Leistungen 1 000 Euro je Krankheitsfall nicht übersteigen,</w:t>
      </w:r>
    </w:p>
    <w:p>
      <w:pPr>
        <w:ind w:left="420"/>
      </w:pPr>
      <w:r>
        <w:t xml:space="preserve">3. in der Nähe der deutschen Grenze wohnende beihilfeberechtigte oder berücksichtigungsfähige Personen bei akutem Behandlungsbedarf das nächstgelegene Krankenhaus aufsuchen mussten,</w:t>
      </w:r>
    </w:p>
    <w:p>
      <w:pPr>
        <w:ind w:left="420"/>
      </w:pPr>
      <w:r>
        <w:t xml:space="preserve">4. beihilfeberechtigte oder berücksichtigungsfähige Personen zur Notfallversorgung das nächstgelegene Krankenhaus aufsuchen mussten oder</w:t>
      </w:r>
    </w:p>
    <w:p>
      <w:pPr>
        <w:ind w:left="420"/>
      </w:pPr>
      <w:r>
        <w:t xml:space="preserve">5. die Beihilfefähigkeit vor Antritt der Reise anerkannt worden ist.</w:t>
      </w:r>
    </w:p>
    <w:p>
      <w:r>
        <w:t xml:space="preserve">Eine Anerkennung nach Satz 1 Nummer 5 kommt ausnahmsweise in Betracht, wenn ein von der Festsetzungsstelle beauftragtes ärztliches Gutachten nachweist, dass die Behandlung außerhalb der Europäischen Union zwingend notwendig ist, weil hierdurch eine wesentlich größere Erfolgsaussicht zu erwarten oder eine Behandlung innerhalb der Europäischen Union nicht möglich ist; in Ausnahmefällen kann die Anerkennung nachträglich erfolgen.</w:t>
      </w:r>
    </w:p>
    <w:p>
      <w:r>
        <w:t xml:space="preserve">(3) Bei Personen, die nach § 3 beihilfeberechtigt oder bei einer nach § 3 beihilfeberechtigten Person berücksichtigungsfähig sind, sind Aufwendungen, die während eines nicht dienstlich bedingten Aufenthaltes außerhalb des Gastlandes und außerhalb der Europäischen Union im Ausland entstehen, nur insoweit und bis zu der Höhe beihilfefähig, wie sie im Gastland oder im Inland entstanden und beihilfefähig wären. Dies gilt nicht in den Fällen des § 31 Absatz 6.</w:t>
      </w:r>
    </w:p>
    <w:p>
      <w:r>
        <w:rPr>
          <w:color w:val="555555"/>
          <w:sz w:val="17"/>
        </w:rPr>
        <w:t xml:space="preserve">Zitiervorschlag: § 11 BBhV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https://recht.nulegal.eu/gesetze/BBhV/11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