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BBesG — Anrechnung anderer Einkünfte auf die Besoldung</w:t>
      </w:r>
    </w:p>
    <w:p>
      <w:r>
        <w:rPr>
          <w:color w:val="555555"/>
          <w:sz w:val="18"/>
        </w:rPr>
        <w:t xml:space="preserve">Bundesbesoldungsgesetz</w:t>
      </w:r>
    </w:p>
    <w:p>
      <w:r>
        <w:rPr>
          <w:color w:val="555555"/>
          <w:sz w:val="18"/>
        </w:rPr>
        <w:t xml:space="preserve">Stand: 10.01.2020 (konsolidierte Textfassung, kein amtliches Inkrafttretensdatum)</w:t>
      </w:r>
    </w:p>
    <w:p>
      <w:r>
        <w:t xml:space="preserve">(1) Haben Beamte, Richter oder Soldaten Anspruch auf Besoldung für eine Zeit, in der sie nicht zur Dienstleistung verpflichtet waren, kann ein infolge der unterbliebenen Dienstleistung für diesen Zeitraum erzieltes anderes Einkommen auf die Besoldung angerechnet werden. Der Beamte, Richter oder Soldat ist zur Auskunft verpflichtet. In den Fällen einer vorläufigen Dienstenthebung auf Grund eines Disziplinarverfahrens gelten die besonderen Vorschriften des Disziplinarrechts.</w:t>
      </w:r>
    </w:p>
    <w:p>
      <w:r>
        <w:t xml:space="preserve">(2) Erhält ein Beamter oder Richter aus einer Verwendung nach § 29 des Bundesbeamtengesetzes anderweitig Bezüge, werden diese auf die Besoldung angerechnet. In besonderen Fällen kann die oberste Dienstbehörde von der Anrechnung ganz oder teilweise absehen, soweit die im Kalenderjahr gezahlten anderweitigen Bezüge den Betrag eines Anfangsgrundgehaltes der jeweiligen Besoldungsgruppe nicht übersteigen. Darüber hinaus kann die oberste Dienstbehörde im Einvernehmen mit dem Bundesministerium des Innern, für Bau und Heimat in besonderen Fällen von der Anrechnung ganz oder teilweise absehen. Die Sätze 1 bis 3 gelten entsprechend für Soldaten.</w:t>
      </w:r>
    </w:p>
    <w:p>
      <w:r>
        <w:rPr>
          <w:color w:val="555555"/>
          <w:sz w:val="17"/>
        </w:rPr>
        <w:t xml:space="preserve">Zitiervorschlag: § 9a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